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C147C" w14:textId="77777777" w:rsidR="00024517" w:rsidRPr="00B169DF" w:rsidRDefault="00ED1F90" w:rsidP="0002451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 w:rsidR="00024517" w:rsidRPr="00FE0F41">
        <w:rPr>
          <w:rFonts w:ascii="Corbel" w:hAnsi="Corbel"/>
          <w:bCs/>
          <w:i/>
        </w:rPr>
        <w:t>Załącznik nr 1.5 do Zarządzenia Rektora UR nr 61/2025</w:t>
      </w:r>
    </w:p>
    <w:p w14:paraId="699AC0BF" w14:textId="77777777" w:rsidR="00237EEF" w:rsidRPr="00237EEF" w:rsidRDefault="00237EEF" w:rsidP="00237EEF">
      <w:pPr>
        <w:suppressAutoHyphens w:val="0"/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37EE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14:paraId="70E15698" w14:textId="77777777" w:rsidR="00237EEF" w:rsidRPr="00237EEF" w:rsidRDefault="00237EEF" w:rsidP="00237EEF">
      <w:pPr>
        <w:suppressAutoHyphens w:val="0"/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37EE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4A1759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237EE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4A1759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237EE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14:paraId="0FC4050D" w14:textId="77777777" w:rsidR="00237EEF" w:rsidRPr="00237EEF" w:rsidRDefault="00237EEF" w:rsidP="00237EEF">
      <w:pPr>
        <w:suppressAutoHyphens w:val="0"/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37EEF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237EEF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237EEF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14:paraId="6E0272B3" w14:textId="77777777" w:rsidR="00237EEF" w:rsidRPr="00237EEF" w:rsidRDefault="00237EEF" w:rsidP="00237EEF">
      <w:pPr>
        <w:suppressAutoHyphens w:val="0"/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37EEF">
        <w:rPr>
          <w:rFonts w:ascii="Corbel" w:eastAsia="Times New Roman" w:hAnsi="Corbel"/>
          <w:color w:val="000000"/>
          <w:sz w:val="20"/>
          <w:szCs w:val="20"/>
          <w:lang w:eastAsia="pl-PL"/>
        </w:rPr>
        <w:t>Rok akademicki</w:t>
      </w:r>
      <w:r w:rsidR="004A1759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   2027/2028</w:t>
      </w:r>
    </w:p>
    <w:p w14:paraId="6EF738F5" w14:textId="77777777" w:rsidR="00ED1F90" w:rsidRDefault="00ED1F90" w:rsidP="00024517">
      <w:pPr>
        <w:spacing w:line="240" w:lineRule="auto"/>
        <w:jc w:val="right"/>
        <w:rPr>
          <w:rFonts w:ascii="Corbel" w:hAnsi="Corbel" w:cs="Corbel"/>
          <w:sz w:val="24"/>
          <w:szCs w:val="24"/>
        </w:rPr>
      </w:pPr>
    </w:p>
    <w:p w14:paraId="1D50F9A1" w14:textId="77777777" w:rsidR="00ED1F90" w:rsidRDefault="00ED1F90">
      <w:pPr>
        <w:pStyle w:val="Punktygwne"/>
        <w:spacing w:before="0" w:after="0"/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7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693"/>
        <w:gridCol w:w="7087"/>
      </w:tblGrid>
      <w:tr w:rsidR="00ED1F90" w14:paraId="79BF1F2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5B3F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5DDA" w14:textId="77777777" w:rsidR="00ED1F90" w:rsidRDefault="00ED1F90">
            <w:pPr>
              <w:pStyle w:val="Odpowiedzi"/>
              <w:snapToGrid w:val="0"/>
              <w:spacing w:before="0" w:after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Etyka Komunikacji</w:t>
            </w:r>
          </w:p>
        </w:tc>
      </w:tr>
      <w:tr w:rsidR="00ED1F90" w14:paraId="58AFAAD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A11E7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D8762" w14:textId="77777777" w:rsidR="00ED1F90" w:rsidRDefault="00ED1F90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024517" w14:paraId="3CD8166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FE0D" w14:textId="77777777" w:rsidR="00024517" w:rsidRDefault="00024517" w:rsidP="00024517">
            <w:pPr>
              <w:pStyle w:val="Pytania"/>
              <w:spacing w:before="0" w:after="0" w:line="240" w:lineRule="exact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33E7" w14:textId="77777777" w:rsidR="00024517" w:rsidRDefault="00024517" w:rsidP="00024517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024517" w14:paraId="6985C57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8148" w14:textId="77777777" w:rsidR="00024517" w:rsidRDefault="00024517" w:rsidP="00024517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82A6" w14:textId="77777777" w:rsidR="00024517" w:rsidRDefault="00024517" w:rsidP="00024517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D1F90" w14:paraId="7C4FB9F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531AF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FDD0B" w14:textId="77777777" w:rsidR="00ED1F90" w:rsidRDefault="00ED1F90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D1F90" w14:paraId="1BFF4FA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6506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3548D" w14:textId="77777777" w:rsidR="00ED1F90" w:rsidRDefault="00B24374">
            <w:pPr>
              <w:pStyle w:val="Odpowiedzi"/>
              <w:snapToGrid w:val="0"/>
              <w:spacing w:before="280" w:after="280"/>
            </w:pPr>
            <w:r>
              <w:t>I stopnia</w:t>
            </w:r>
          </w:p>
        </w:tc>
      </w:tr>
      <w:tr w:rsidR="00ED1F90" w14:paraId="4FECE6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CC59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BA5" w14:textId="77777777" w:rsidR="00ED1F90" w:rsidRDefault="00430295">
            <w:pPr>
              <w:pStyle w:val="Odpowiedzi"/>
              <w:snapToGrid w:val="0"/>
              <w:spacing w:before="280" w:after="280"/>
            </w:pPr>
            <w:r>
              <w:t>ogólnoakademicki</w:t>
            </w:r>
          </w:p>
        </w:tc>
      </w:tr>
      <w:tr w:rsidR="00ED1F90" w14:paraId="6C044F0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5F22F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E70A" w14:textId="77777777" w:rsidR="00ED1F90" w:rsidRDefault="00ED1F90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ED1F90" w14:paraId="3487268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8F564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AF788" w14:textId="77777777" w:rsidR="00ED1F90" w:rsidRDefault="00CC62D5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II rok, semestr </w:t>
            </w:r>
            <w:r w:rsidR="00ED1F90"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7B139A">
              <w:rPr>
                <w:rFonts w:ascii="Corbel" w:hAnsi="Corbel" w:cs="Corbel"/>
                <w:b w:val="0"/>
                <w:sz w:val="24"/>
                <w:szCs w:val="24"/>
              </w:rPr>
              <w:t>V</w:t>
            </w:r>
          </w:p>
        </w:tc>
      </w:tr>
      <w:tr w:rsidR="00ED1F90" w14:paraId="715E6F4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CCD59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A8CD" w14:textId="77777777" w:rsidR="00ED1F90" w:rsidRDefault="00B24374" w:rsidP="00B24374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podstawowy</w:t>
            </w:r>
          </w:p>
        </w:tc>
      </w:tr>
      <w:tr w:rsidR="00ED1F90" w14:paraId="0068EAC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CAF8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75873" w14:textId="77777777" w:rsidR="00ED1F90" w:rsidRDefault="00ED1F90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 jako opcja)</w:t>
            </w:r>
          </w:p>
        </w:tc>
      </w:tr>
      <w:tr w:rsidR="00ED1F90" w14:paraId="0E7A4FC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9435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8CC6" w14:textId="77777777" w:rsidR="00ED1F90" w:rsidRDefault="00ED1F90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ED1F90" w14:paraId="74C6DBC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3B348" w14:textId="77777777" w:rsidR="00ED1F90" w:rsidRDefault="00ED1F90">
            <w:pPr>
              <w:pStyle w:val="Pytania"/>
              <w:spacing w:before="280" w:after="28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7BCA" w14:textId="77777777" w:rsidR="00ED1F90" w:rsidRDefault="00ED1F90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0BEA7AF9" w14:textId="77777777" w:rsidR="00ED1F90" w:rsidRDefault="00ED1F90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3D7C6AEA" w14:textId="77777777" w:rsidR="00ED1F90" w:rsidRDefault="00ED1F90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691E5F48" w14:textId="77777777" w:rsidR="00ED1F90" w:rsidRDefault="00ED1F90">
      <w:pPr>
        <w:pStyle w:val="Podpunkty"/>
        <w:ind w:left="284"/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4D3A49E9" w14:textId="77777777" w:rsidR="00ED1F90" w:rsidRDefault="00ED1F90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ED1F90" w14:paraId="665C0820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5A0B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36B52F23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E3511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C7D5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1D7C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CF1F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D77E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5C0BB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BC78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E2F11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9976" w14:textId="77777777" w:rsidR="00ED1F90" w:rsidRDefault="00ED1F90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ED1F90" w14:paraId="4417A7EF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9FAB" w14:textId="77777777" w:rsidR="00ED1F90" w:rsidRDefault="00ED1F90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A607A" w14:textId="77777777" w:rsidR="00ED1F90" w:rsidRDefault="00ED1F90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3FDD1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CF811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58668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22A4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C5C5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E864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054A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D43C" w14:textId="77777777" w:rsidR="00ED1F90" w:rsidRDefault="00ED1F90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ED1F90" w14:paraId="696B50D8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671F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AFCAF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C990C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8222C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3D064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E876F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E97F3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0B0A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C363B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46BA" w14:textId="77777777" w:rsidR="00ED1F90" w:rsidRDefault="00ED1F90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509514C" w14:textId="77777777" w:rsidR="00ED1F90" w:rsidRDefault="00ED1F90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6180C0DA" w14:textId="77777777" w:rsidR="00ED1F90" w:rsidRDefault="00ED1F90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237348C8" w14:textId="77777777" w:rsidR="00ED1F90" w:rsidRDefault="00ED1F90">
      <w:pPr>
        <w:pStyle w:val="Punktygwne"/>
        <w:tabs>
          <w:tab w:val="left" w:pos="709"/>
        </w:tabs>
        <w:spacing w:before="0" w:after="0"/>
        <w:ind w:left="284"/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18BBF57A" w14:textId="77777777" w:rsidR="00ED1F90" w:rsidRDefault="00ED1F90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 xml:space="preserve">zajęcia w formie tradycyjnej </w:t>
      </w:r>
    </w:p>
    <w:p w14:paraId="7DC51478" w14:textId="77777777" w:rsidR="00ED1F90" w:rsidRDefault="00ED1F90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0CAF46EB" w14:textId="77777777" w:rsidR="00ED1F90" w:rsidRDefault="00ED1F90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B405AA5" w14:textId="77777777" w:rsidR="00ED1F90" w:rsidRDefault="00ED1F90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>(</w:t>
      </w:r>
      <w:r>
        <w:rPr>
          <w:rFonts w:ascii="Corbel" w:hAnsi="Corbel" w:cs="Corbel"/>
          <w:bCs/>
          <w:smallCaps w:val="0"/>
          <w:szCs w:val="24"/>
          <w:u w:val="single"/>
        </w:rPr>
        <w:t>egzamin</w:t>
      </w:r>
      <w:r>
        <w:rPr>
          <w:rFonts w:ascii="Corbel" w:hAnsi="Corbel" w:cs="Corbel"/>
          <w:b w:val="0"/>
          <w:smallCaps w:val="0"/>
          <w:szCs w:val="24"/>
        </w:rPr>
        <w:t>, zaliczenie z oceną, zaliczenie bez oceny)</w:t>
      </w:r>
    </w:p>
    <w:p w14:paraId="2EE24B67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A7371A1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79DB04B4" w14:textId="77777777" w:rsidR="00ED1F90" w:rsidRDefault="00ED1F90">
      <w:pPr>
        <w:pStyle w:val="Punktygwne"/>
        <w:spacing w:before="0" w:after="0"/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ED1F90" w14:paraId="3D91756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57B6" w14:textId="77777777" w:rsidR="00ED1F90" w:rsidRDefault="00ED1F90">
            <w:pPr>
              <w:pStyle w:val="Punktygwne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14:paraId="3F41D7BB" w14:textId="77777777" w:rsidR="00ED1F90" w:rsidRDefault="00ED1F90">
            <w:pPr>
              <w:pStyle w:val="Tekstpodstawowy"/>
              <w:spacing w:before="40" w:after="40"/>
            </w:pPr>
            <w:r>
              <w:rPr>
                <w:rFonts w:cs="Calibri"/>
                <w:color w:val="000000"/>
                <w:sz w:val="24"/>
                <w:szCs w:val="24"/>
              </w:rPr>
              <w:t>Podstawowa wiedza ogólna z zakresu nauk o kulturze;</w:t>
            </w:r>
            <w:r>
              <w:rPr>
                <w:rFonts w:ascii="Corbel" w:hAnsi="Corbel" w:cs="Corbel"/>
                <w:color w:val="000000"/>
                <w:szCs w:val="24"/>
              </w:rPr>
              <w:t> </w:t>
            </w:r>
          </w:p>
          <w:p w14:paraId="5BFDE903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30" w:after="30" w:line="315" w:lineRule="atLeast"/>
            </w:pPr>
            <w:r>
              <w:rPr>
                <w:rFonts w:ascii="Corbel" w:hAnsi="Corbel" w:cs="Corbel"/>
                <w:color w:val="000000"/>
                <w:sz w:val="24"/>
              </w:rPr>
              <w:t>Zalecana znajomość języka angielskiego na poziomie pozwalającym na lekturę tekstów w tym języku. (B2)</w:t>
            </w:r>
          </w:p>
          <w:p w14:paraId="36E10E41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30" w:after="30" w:line="315" w:lineRule="atLeast"/>
            </w:pPr>
          </w:p>
          <w:p w14:paraId="72EC983F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30" w:after="30" w:line="315" w:lineRule="atLeast"/>
            </w:pPr>
            <w:r>
              <w:rPr>
                <w:rFonts w:ascii="Corbel" w:hAnsi="Corbel" w:cs="Corbel"/>
                <w:b/>
                <w:bCs/>
                <w:color w:val="000000"/>
                <w:sz w:val="24"/>
              </w:rPr>
              <w:t xml:space="preserve">UWAGA: przedmiot jest częścia programu eksperymentalnego: </w:t>
            </w:r>
            <w:r>
              <w:rPr>
                <w:rFonts w:ascii="Corbel" w:hAnsi="Corbel" w:cs="Corbel"/>
                <w:b/>
                <w:bCs/>
                <w:i/>
                <w:iCs/>
                <w:color w:val="000000"/>
                <w:sz w:val="24"/>
              </w:rPr>
              <w:t>mikrosymulacje w dydaktyce akademickiej etyki</w:t>
            </w:r>
          </w:p>
          <w:p w14:paraId="79999169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30" w:after="30" w:line="315" w:lineRule="atLeast"/>
            </w:pPr>
          </w:p>
          <w:p w14:paraId="136C51F9" w14:textId="77777777" w:rsidR="00ED1F90" w:rsidRDefault="00ED1F90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052CABD" w14:textId="77777777" w:rsidR="00ED1F90" w:rsidRDefault="00ED1F90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53387CF7" w14:textId="77777777" w:rsidR="00ED1F90" w:rsidRDefault="00ED1F90">
      <w:pPr>
        <w:pStyle w:val="Punktygwne"/>
        <w:spacing w:before="0" w:after="0"/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391EF46F" w14:textId="77777777" w:rsidR="00ED1F90" w:rsidRDefault="00ED1F90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39424F5" w14:textId="77777777" w:rsidR="00ED1F90" w:rsidRDefault="00ED1F90">
      <w:pPr>
        <w:pStyle w:val="Podpunkty"/>
      </w:pPr>
      <w:r>
        <w:rPr>
          <w:rFonts w:ascii="Corbel" w:hAnsi="Corbel" w:cs="Corbel"/>
          <w:sz w:val="24"/>
          <w:szCs w:val="24"/>
        </w:rPr>
        <w:t>3.1 Cele przedmiotu</w:t>
      </w:r>
    </w:p>
    <w:p w14:paraId="155AB4A8" w14:textId="77777777" w:rsidR="00ED1F90" w:rsidRDefault="00ED1F90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44"/>
        <w:gridCol w:w="8675"/>
      </w:tblGrid>
      <w:tr w:rsidR="00ED1F90" w14:paraId="4BD1EE4E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14900" w14:textId="77777777" w:rsidR="00ED1F90" w:rsidRDefault="00ED1F9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A7924" w14:textId="77777777" w:rsidR="00ED1F90" w:rsidRDefault="00ED1F90">
            <w:pPr>
              <w:pStyle w:val="Tekstpodstawowy"/>
              <w:snapToGrid w:val="0"/>
              <w:spacing w:before="40" w:after="40"/>
            </w:pPr>
            <w:bookmarkStart w:id="0" w:name="WACViewPanel_ClipboardElement"/>
            <w:bookmarkEnd w:id="0"/>
            <w:r>
              <w:rPr>
                <w:rFonts w:ascii="Arial" w:hAnsi="Arial" w:cs="Arial"/>
                <w:sz w:val="20"/>
                <w:szCs w:val="24"/>
              </w:rPr>
              <w:t>Celem zajęc jest wprowadzenie słuchaczy w zagadnienia związane z problematyką etyczną dotyczącą zagadnień komunikacji. Kurs odbywa sie w formie zajęc mieszanych: wykładów, ćwiczeń i konwersatoriów analitycznych. W ramach tych zajęć słuchacze zapoznają się z głównymi postulatami aksjologicznymi zwiazanymi z komunikacją, ich aplikacją w głównych nurtach aktualnej refleksji etycznej (etyka cnót, etyka formalna, utylitaryzm i pragmatyzm, konsekwencjonalizm) i problemami jakie te postulaty i ich aplikacje stwarzają w praktyce (np. kontrowersje wokół zasady prawdomówności, problemy zwiazane z uprzedzeniami (bias), wpływ technologii na praktyki komunikacyjne etc.). Integralną częścią kursu sa ćwiczenia wykonywane w ramach zajęć oraz poza nimi w formie zadań indywidualnych i grupowych.</w:t>
            </w:r>
            <w:r>
              <w:rPr>
                <w:rFonts w:ascii="Corbel" w:hAnsi="Corbel" w:cs="Corbel"/>
                <w:sz w:val="24"/>
                <w:szCs w:val="24"/>
              </w:rPr>
              <w:t> </w:t>
            </w:r>
          </w:p>
          <w:p w14:paraId="24362263" w14:textId="77777777" w:rsidR="00ED1F90" w:rsidRDefault="00ED1F90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ED1F90" w14:paraId="6B536235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004F8" w14:textId="77777777" w:rsidR="00ED1F90" w:rsidRDefault="00ED1F90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…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87BE" w14:textId="77777777" w:rsidR="00ED1F90" w:rsidRDefault="00ED1F90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ED1F90" w14:paraId="0893E4C1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7174" w14:textId="77777777" w:rsidR="00ED1F90" w:rsidRDefault="00ED1F9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Cn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660C" w14:textId="77777777" w:rsidR="00ED1F90" w:rsidRDefault="00ED1F90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</w:tbl>
    <w:p w14:paraId="2CBB8679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312298F0" w14:textId="77777777" w:rsidR="00ED1F90" w:rsidRDefault="00ED1F90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175205E2" w14:textId="77777777" w:rsidR="00ED1F90" w:rsidRDefault="00ED1F90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81"/>
        <w:gridCol w:w="5974"/>
        <w:gridCol w:w="1865"/>
      </w:tblGrid>
      <w:tr w:rsidR="00ED1F90" w14:paraId="61EC2910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868A6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6EF5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B839" w14:textId="77777777" w:rsidR="00ED1F90" w:rsidRDefault="00ED1F9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Characters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D1F90" w14:paraId="30C269A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3A28" w14:textId="77777777" w:rsidR="00ED1F90" w:rsidRDefault="00ED1F9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E73A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85" w:lineRule="atLeast"/>
            </w:pPr>
            <w:r>
              <w:rPr>
                <w:rFonts w:ascii="Arial" w:hAnsi="Arial" w:cs="Arial"/>
                <w:sz w:val="20"/>
                <w:szCs w:val="24"/>
                <w:bdr w:val="none" w:sz="0" w:space="0" w:color="000000"/>
              </w:rPr>
              <w:t>Umiejętność przedstawienia i analizy kluczowych zagadnień związanych z komunikacją w perspektywie etycznej:</w:t>
            </w:r>
            <w:r>
              <w:rPr>
                <w:rFonts w:ascii="Arial" w:hAnsi="Arial" w:cs="Arial"/>
                <w:sz w:val="20"/>
                <w:szCs w:val="24"/>
                <w:bdr w:val="none" w:sz="0" w:space="0" w:color="000000"/>
              </w:rPr>
              <w:br/>
              <w:t>- podstawowa identyfikacja problemu/problemów moralnych w strukturyzowanych i niestrukturyzowanych komunikatach;</w:t>
            </w:r>
          </w:p>
          <w:p w14:paraId="6CFA559D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85" w:lineRule="atLeast"/>
            </w:pPr>
            <w:r>
              <w:rPr>
                <w:rFonts w:ascii="Arial" w:hAnsi="Arial" w:cs="Arial"/>
                <w:sz w:val="20"/>
                <w:szCs w:val="24"/>
                <w:bdr w:val="none" w:sz="0" w:space="0" w:color="000000"/>
              </w:rPr>
              <w:t>- znajomość głównych stylów argumentacyjnych (utylitarystyczny/pragmatyczny, deontologiczny, etyki cnót, etyk troski i dialogu)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550E" w14:textId="77777777" w:rsidR="00ED1F90" w:rsidRDefault="00ED1F90">
            <w:pPr>
              <w:pStyle w:val="Tekstpodstawowy"/>
              <w:snapToGrid w:val="0"/>
              <w:spacing w:after="0"/>
            </w:pPr>
            <w:bookmarkStart w:id="1" w:name="WACViewPanel_ClipboardElement6"/>
            <w:bookmarkEnd w:id="1"/>
            <w:r>
              <w:rPr>
                <w:rFonts w:ascii="Arial" w:hAnsi="Arial" w:cs="Arial"/>
                <w:sz w:val="20"/>
                <w:szCs w:val="24"/>
              </w:rPr>
              <w:t>K_W01, K_W02, K_W04, K_W05</w:t>
            </w:r>
            <w:r>
              <w:rPr>
                <w:rFonts w:ascii="Corbel" w:hAnsi="Corbel" w:cs="Corbel"/>
                <w:szCs w:val="24"/>
              </w:rPr>
              <w:t> </w:t>
            </w:r>
          </w:p>
          <w:p w14:paraId="2CD2DF04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ED1F90" w14:paraId="4BE5BDC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22C7" w14:textId="77777777" w:rsidR="00ED1F90" w:rsidRDefault="00ED1F9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E53E" w14:textId="77777777" w:rsidR="00ED1F90" w:rsidRDefault="00ED1F90">
            <w:pPr>
              <w:pStyle w:val="Tekstpodstawowy"/>
              <w:snapToGrid w:val="0"/>
              <w:spacing w:after="0"/>
            </w:pPr>
            <w:bookmarkStart w:id="2" w:name="WACViewPanel_ClipboardElement2"/>
            <w:bookmarkEnd w:id="2"/>
            <w:r>
              <w:rPr>
                <w:rFonts w:ascii="Arial" w:hAnsi="Arial" w:cs="Arial"/>
                <w:sz w:val="20"/>
                <w:szCs w:val="24"/>
              </w:rPr>
              <w:t>Umiejętność krytycznej analizy problemów związanych z głównymi postulatami etycznej komunikacji:</w:t>
            </w:r>
          </w:p>
          <w:p w14:paraId="0CD430CD" w14:textId="77777777" w:rsidR="00ED1F90" w:rsidRDefault="00ED1F90">
            <w:pPr>
              <w:pStyle w:val="Tekstpodstawowy"/>
              <w:snapToGrid w:val="0"/>
              <w:spacing w:after="0"/>
            </w:pPr>
            <w:r>
              <w:rPr>
                <w:rFonts w:ascii="Arial" w:hAnsi="Arial" w:cs="Arial"/>
                <w:sz w:val="20"/>
                <w:szCs w:val="24"/>
              </w:rPr>
              <w:t>- umiejętność wyróżnienia różnych warstw etycznych komunikatu i ich identyfikacji/interpretacji;</w:t>
            </w:r>
          </w:p>
          <w:p w14:paraId="4360E191" w14:textId="77777777" w:rsidR="00ED1F90" w:rsidRDefault="00ED1F90">
            <w:pPr>
              <w:pStyle w:val="Tekstpodstawowy"/>
              <w:snapToGrid w:val="0"/>
              <w:spacing w:after="0"/>
            </w:pPr>
            <w:r>
              <w:rPr>
                <w:rFonts w:ascii="Arial" w:hAnsi="Arial" w:cs="Arial"/>
                <w:sz w:val="20"/>
                <w:szCs w:val="24"/>
              </w:rPr>
              <w:t>- umiejętność zastosowania w praktycznej analizie wiedzy dot. stylów argumentacyjnych;</w:t>
            </w:r>
          </w:p>
          <w:p w14:paraId="76BA613F" w14:textId="77777777" w:rsidR="00ED1F90" w:rsidRDefault="00ED1F90">
            <w:pPr>
              <w:pStyle w:val="Tekstpodstawowy"/>
              <w:snapToGrid w:val="0"/>
              <w:spacing w:after="0"/>
            </w:pPr>
            <w:r>
              <w:rPr>
                <w:rFonts w:ascii="Arial" w:hAnsi="Arial" w:cs="Arial"/>
                <w:sz w:val="20"/>
                <w:szCs w:val="24"/>
              </w:rPr>
              <w:t>- umiejętnośc aplikacji i prezentacji etycznych postaw komunikacyjnych (mikrosymulacje)</w:t>
            </w:r>
          </w:p>
          <w:p w14:paraId="6731AB77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DE8D" w14:textId="77777777" w:rsidR="00ED1F90" w:rsidRDefault="00ED1F90">
            <w:pPr>
              <w:pStyle w:val="Punktygwne"/>
              <w:snapToGrid w:val="0"/>
              <w:spacing w:before="0" w:after="0"/>
            </w:pPr>
            <w:r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K_W08, K_w09, K_w1</w:t>
            </w:r>
            <w:r w:rsidR="001A72D3"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0</w:t>
            </w:r>
            <w:r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, K_U0</w:t>
            </w:r>
            <w:r w:rsidR="001A72D3"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3</w:t>
            </w:r>
            <w:r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,  K_U0</w:t>
            </w:r>
            <w:r w:rsidR="001A72D3"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4</w:t>
            </w:r>
            <w:r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, K_U0</w:t>
            </w:r>
            <w:r w:rsidR="001A72D3"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5</w:t>
            </w:r>
            <w:r>
              <w:rPr>
                <w:rFonts w:ascii="Arial" w:hAnsi="Arial" w:cs="Arial"/>
                <w:b w:val="0"/>
                <w:smallCaps w:val="0"/>
                <w:sz w:val="20"/>
                <w:szCs w:val="24"/>
              </w:rPr>
              <w:t>,</w:t>
            </w:r>
          </w:p>
        </w:tc>
      </w:tr>
      <w:tr w:rsidR="00ED1F90" w14:paraId="4E63D9C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A31A" w14:textId="77777777" w:rsidR="00ED1F90" w:rsidRDefault="00B4463E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FE4D" w14:textId="77777777" w:rsidR="00ED1F90" w:rsidRDefault="00ED1F90">
            <w:pPr>
              <w:pStyle w:val="Tekstpodstawowy"/>
              <w:snapToGrid w:val="0"/>
              <w:spacing w:after="0"/>
            </w:pPr>
            <w:bookmarkStart w:id="3" w:name="WACViewPanel_ClipboardElement3"/>
            <w:bookmarkEnd w:id="3"/>
            <w:r>
              <w:rPr>
                <w:rFonts w:ascii="Arial" w:hAnsi="Arial" w:cs="Arial"/>
                <w:sz w:val="20"/>
                <w:szCs w:val="24"/>
              </w:rPr>
              <w:t>Zdolność zastosowania krytycznej refleksji względem (także własnych) sposobów komunikacji, rytuałów i kanałów komunikacyjnych; zrozumienie dla problemów związanych z wiarygodnościa komunikacyjną, analizą i kontekstualizacją opisów, krytyki i ocen wedle obszaru komunikacji i rodzaju zaangażowanych podmiotów (zadania zlecone)</w:t>
            </w:r>
          </w:p>
          <w:p w14:paraId="0366B25C" w14:textId="77777777" w:rsidR="00ED1F90" w:rsidRDefault="00ED1F90">
            <w:pPr>
              <w:pStyle w:val="Tekstpodstawowy"/>
              <w:snapToGrid w:val="0"/>
              <w:spacing w:after="0"/>
            </w:pPr>
          </w:p>
          <w:p w14:paraId="15D51392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7898" w14:textId="77777777" w:rsidR="00ED1F90" w:rsidRDefault="00ED1F90">
            <w:pPr>
              <w:pStyle w:val="Tekstpodstawowy"/>
              <w:snapToGrid w:val="0"/>
              <w:spacing w:after="0"/>
            </w:pPr>
            <w:bookmarkStart w:id="4" w:name="WACViewPanel_ClipboardElement7"/>
            <w:bookmarkEnd w:id="4"/>
            <w:r>
              <w:rPr>
                <w:rFonts w:ascii="Arial" w:hAnsi="Arial" w:cs="Arial"/>
                <w:sz w:val="20"/>
                <w:szCs w:val="24"/>
              </w:rPr>
              <w:t>K_U05, K_U0</w:t>
            </w:r>
            <w:r w:rsidR="001A72D3">
              <w:rPr>
                <w:rFonts w:ascii="Arial" w:hAnsi="Arial" w:cs="Arial"/>
                <w:sz w:val="20"/>
                <w:szCs w:val="24"/>
              </w:rPr>
              <w:t>7</w:t>
            </w:r>
            <w:r>
              <w:rPr>
                <w:rFonts w:ascii="Arial" w:hAnsi="Arial" w:cs="Arial"/>
                <w:sz w:val="20"/>
                <w:szCs w:val="24"/>
              </w:rPr>
              <w:t>, K_K01,</w:t>
            </w:r>
            <w:r>
              <w:rPr>
                <w:rFonts w:ascii="Corbel" w:hAnsi="Corbel" w:cs="Corbel"/>
                <w:szCs w:val="24"/>
              </w:rPr>
              <w:t> </w:t>
            </w:r>
          </w:p>
          <w:p w14:paraId="388B2DAB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ED1F90" w14:paraId="175F97AF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8D45" w14:textId="77777777" w:rsidR="00ED1F90" w:rsidRDefault="00B4463E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7212" w14:textId="77777777" w:rsidR="00ED1F90" w:rsidRDefault="00ED1F90">
            <w:pPr>
              <w:pStyle w:val="Tekstpodstawowy"/>
              <w:snapToGrid w:val="0"/>
              <w:spacing w:after="0"/>
            </w:pPr>
            <w:bookmarkStart w:id="5" w:name="WACViewPanel_ClipboardElement5"/>
            <w:bookmarkEnd w:id="5"/>
            <w:r>
              <w:rPr>
                <w:rFonts w:ascii="Arial" w:hAnsi="Arial" w:cs="Arial"/>
                <w:sz w:val="20"/>
                <w:szCs w:val="24"/>
              </w:rPr>
              <w:t>Umiejętność krytycznej analizy indywidualnych, zbiorowych i instytucjonalnych reguł i zachowań komunikacyjnych</w:t>
            </w:r>
          </w:p>
          <w:p w14:paraId="6FD30CDB" w14:textId="77777777" w:rsidR="00ED1F90" w:rsidRDefault="00ED1F90">
            <w:pPr>
              <w:pStyle w:val="Tekstpodstawowy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85" w:lineRule="atLeast"/>
            </w:pPr>
            <w:r>
              <w:rPr>
                <w:rFonts w:ascii="Arial" w:hAnsi="Arial" w:cs="Arial"/>
                <w:sz w:val="20"/>
              </w:rPr>
              <w:t>umiejętność pracy i organizacji zadań w małym zespole, w krótkim przedziale czasu, skupionym na jednym zadaniu (zadania i mikrosymulacje);</w:t>
            </w:r>
          </w:p>
          <w:p w14:paraId="0EA11231" w14:textId="77777777" w:rsidR="00ED1F90" w:rsidRDefault="00ED1F90">
            <w:pPr>
              <w:pStyle w:val="Tekstpodstawowy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932D" w14:textId="77777777" w:rsidR="00ED1F90" w:rsidRDefault="00ED1F90">
            <w:pPr>
              <w:pStyle w:val="Tekstpodstawowy"/>
              <w:snapToGrid w:val="0"/>
              <w:spacing w:after="0"/>
            </w:pPr>
            <w:bookmarkStart w:id="6" w:name="WACViewPanel_ClipboardElement8"/>
            <w:bookmarkEnd w:id="6"/>
            <w:r>
              <w:rPr>
                <w:rFonts w:ascii="Arial" w:hAnsi="Arial" w:cs="Arial"/>
                <w:sz w:val="20"/>
                <w:szCs w:val="24"/>
              </w:rPr>
              <w:t>K_K0</w:t>
            </w:r>
            <w:r w:rsidR="001A72D3">
              <w:rPr>
                <w:rFonts w:ascii="Arial" w:hAnsi="Arial" w:cs="Arial"/>
                <w:sz w:val="20"/>
                <w:szCs w:val="24"/>
              </w:rPr>
              <w:t>4</w:t>
            </w:r>
            <w:r>
              <w:rPr>
                <w:rFonts w:ascii="Arial" w:hAnsi="Arial" w:cs="Arial"/>
                <w:sz w:val="20"/>
                <w:szCs w:val="24"/>
              </w:rPr>
              <w:t>, K_K0</w:t>
            </w:r>
            <w:r w:rsidR="001A72D3">
              <w:rPr>
                <w:rFonts w:ascii="Arial" w:hAnsi="Arial" w:cs="Arial"/>
                <w:sz w:val="20"/>
                <w:szCs w:val="24"/>
              </w:rPr>
              <w:t>5</w:t>
            </w:r>
            <w:r>
              <w:rPr>
                <w:rFonts w:ascii="WordVisiCarriageReturn MSFontSe" w:hAnsi="WordVisiCarriageReturn MSFontSe" w:cs="WordVisiCarriageReturn MSFontSe"/>
                <w:sz w:val="20"/>
                <w:szCs w:val="24"/>
              </w:rPr>
              <w:br/>
            </w:r>
            <w:r>
              <w:rPr>
                <w:rFonts w:ascii="Arial" w:hAnsi="Arial" w:cs="Arial"/>
                <w:sz w:val="20"/>
                <w:szCs w:val="24"/>
              </w:rPr>
              <w:t>K_U05, K_U0</w:t>
            </w:r>
            <w:r w:rsidR="001A72D3">
              <w:rPr>
                <w:rFonts w:ascii="Arial" w:hAnsi="Arial" w:cs="Arial"/>
                <w:sz w:val="20"/>
                <w:szCs w:val="24"/>
              </w:rPr>
              <w:t>7</w:t>
            </w:r>
            <w:r>
              <w:rPr>
                <w:rFonts w:ascii="Arial" w:hAnsi="Arial" w:cs="Arial"/>
                <w:sz w:val="20"/>
                <w:szCs w:val="24"/>
              </w:rPr>
              <w:t>, K_K01</w:t>
            </w:r>
            <w:r>
              <w:rPr>
                <w:rFonts w:ascii="Corbel" w:hAnsi="Corbel" w:cs="Corbel"/>
                <w:szCs w:val="24"/>
              </w:rPr>
              <w:t> </w:t>
            </w:r>
          </w:p>
          <w:p w14:paraId="3F721A16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494AD84F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7593054" w14:textId="77777777" w:rsidR="00ED1F90" w:rsidRDefault="00ED1F90">
      <w:pPr>
        <w:pStyle w:val="Akapitzlist1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139FFA5C" w14:textId="77777777" w:rsidR="00ED1F90" w:rsidRDefault="00ED1F90">
      <w:pPr>
        <w:pStyle w:val="Akapitzlist1"/>
        <w:numPr>
          <w:ilvl w:val="0"/>
          <w:numId w:val="1"/>
        </w:numPr>
        <w:spacing w:after="120" w:line="240" w:lineRule="auto"/>
        <w:jc w:val="both"/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7B5447DA" w14:textId="77777777" w:rsidR="00ED1F90" w:rsidRDefault="00ED1F90">
      <w:pPr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  <w:bookmarkStart w:id="7" w:name="WACViewPanel_ClipboardElement10"/>
      <w:bookmarkEnd w:id="7"/>
    </w:p>
    <w:p w14:paraId="6B556B61" w14:textId="77777777" w:rsidR="00ED1F90" w:rsidRDefault="00ED1F90">
      <w:pPr>
        <w:sectPr w:rsidR="00ED1F90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47056BBD" w14:textId="77777777" w:rsidR="00ED1F90" w:rsidRDefault="00ED1F90">
      <w:pPr>
        <w:rPr>
          <w:rFonts w:ascii="Corbel" w:hAnsi="Corbel" w:cs="Corbel"/>
          <w:sz w:val="24"/>
          <w:szCs w:val="24"/>
        </w:rPr>
        <w:sectPr w:rsidR="00ED1F90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8"/>
      </w:tblGrid>
      <w:tr w:rsidR="00ED1F90" w14:paraId="2C9B0DA8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603031C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85" w:lineRule="atLeast"/>
              <w:ind w:firstLine="240"/>
            </w:pPr>
            <w:r>
              <w:rPr>
                <w:rFonts w:ascii="Corbel" w:hAnsi="Corbel" w:cs="Corbel"/>
                <w:sz w:val="24"/>
                <w:bdr w:val="none" w:sz="0" w:space="0" w:color="000000"/>
              </w:rPr>
              <w:lastRenderedPageBreak/>
              <w:t>Treści merytoryczne</w:t>
            </w:r>
            <w:r>
              <w:rPr>
                <w:bdr w:val="none" w:sz="0" w:space="0" w:color="000000"/>
              </w:rPr>
              <w:t> </w:t>
            </w:r>
          </w:p>
        </w:tc>
      </w:tr>
      <w:tr w:rsidR="00ED1F90" w14:paraId="3C12F8DF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67C09E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  <w:r>
              <w:rPr>
                <w:rFonts w:cs="Calibri"/>
                <w:bdr w:val="none" w:sz="0" w:space="0" w:color="000000"/>
              </w:rPr>
              <w:t>Wykład wprowadzający, Główne postulaty aksjologiczne względem komunikacji, ich zakres i konsekwencje </w:t>
            </w:r>
            <w:r>
              <w:rPr>
                <w:bdr w:val="none" w:sz="0" w:space="0" w:color="000000"/>
              </w:rPr>
              <w:t> </w:t>
            </w:r>
          </w:p>
          <w:p w14:paraId="4E555E64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55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155691A7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E254FC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rFonts w:cs="Calibri"/>
                <w:sz w:val="24"/>
                <w:bdr w:val="none" w:sz="0" w:space="0" w:color="000000"/>
              </w:rPr>
              <w:t>Główne aplikacje postulatów aksjologicznych:</w:t>
            </w:r>
            <w:r>
              <w:rPr>
                <w:bdr w:val="none" w:sz="0" w:space="0" w:color="000000"/>
              </w:rPr>
              <w:t>  </w:t>
            </w:r>
          </w:p>
          <w:p w14:paraId="0BE31673" w14:textId="77777777" w:rsidR="00ED1F90" w:rsidRDefault="00ED1F90">
            <w:pPr>
              <w:pStyle w:val="TableContents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line="270" w:lineRule="atLeast"/>
              <w:ind w:left="1144"/>
            </w:pPr>
            <w:r>
              <w:rPr>
                <w:rFonts w:cs="Calibri"/>
                <w:sz w:val="24"/>
                <w:bdr w:val="none" w:sz="0" w:space="0" w:color="000000"/>
              </w:rPr>
              <w:t>etyka cnót i etyka formalna;</w:t>
            </w:r>
            <w:r>
              <w:rPr>
                <w:rFonts w:cs="Calibri"/>
                <w:bdr w:val="none" w:sz="0" w:space="0" w:color="000000"/>
              </w:rPr>
              <w:t>  </w:t>
            </w:r>
          </w:p>
          <w:p w14:paraId="21E0F785" w14:textId="77777777" w:rsidR="00ED1F90" w:rsidRDefault="00ED1F90">
            <w:pPr>
              <w:pStyle w:val="TableContents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line="270" w:lineRule="atLeast"/>
              <w:ind w:left="1144"/>
            </w:pPr>
            <w:r>
              <w:rPr>
                <w:rFonts w:cs="Calibri"/>
                <w:sz w:val="24"/>
                <w:bdr w:val="none" w:sz="0" w:space="0" w:color="000000"/>
              </w:rPr>
              <w:t>pragmatyzm, utylitaryzm, konsekwencjonalizm;</w:t>
            </w:r>
            <w:r>
              <w:rPr>
                <w:rFonts w:cs="Calibri"/>
                <w:bdr w:val="none" w:sz="0" w:space="0" w:color="000000"/>
              </w:rPr>
              <w:t>  </w:t>
            </w:r>
          </w:p>
          <w:p w14:paraId="4E847691" w14:textId="77777777" w:rsidR="00ED1F90" w:rsidRDefault="00ED1F90">
            <w:pPr>
              <w:pStyle w:val="TableContents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line="270" w:lineRule="atLeast"/>
              <w:ind w:left="1144"/>
            </w:pPr>
            <w:r>
              <w:rPr>
                <w:rFonts w:cs="Calibri"/>
                <w:bdr w:val="none" w:sz="0" w:space="0" w:color="000000"/>
              </w:rPr>
              <w:t>(dodatkowo: etyka troski i etyki dialogu)</w:t>
            </w:r>
          </w:p>
          <w:p w14:paraId="4AC57CEE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55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11FC328C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1E6951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55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  <w:r>
              <w:rPr>
                <w:rFonts w:cs="Calibri"/>
                <w:b/>
                <w:i/>
                <w:sz w:val="24"/>
                <w:bdr w:val="none" w:sz="0" w:space="0" w:color="000000"/>
              </w:rPr>
              <w:t>Problemy związane z aksjologią komunikacji:</w:t>
            </w:r>
            <w:r>
              <w:rPr>
                <w:bdr w:val="none" w:sz="0" w:space="0" w:color="000000"/>
              </w:rPr>
              <w:t>  </w:t>
            </w:r>
          </w:p>
          <w:p w14:paraId="6ABB245C" w14:textId="77777777" w:rsidR="00ED1F90" w:rsidRDefault="00ED1F90">
            <w:pPr>
              <w:pStyle w:val="TableContents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line="270" w:lineRule="atLeast"/>
              <w:ind w:left="1144"/>
            </w:pPr>
            <w:r>
              <w:rPr>
                <w:rFonts w:cs="Calibri"/>
                <w:sz w:val="24"/>
                <w:bdr w:val="none" w:sz="0" w:space="0" w:color="000000"/>
              </w:rPr>
              <w:t>prawdomówność i skuteczność; *</w:t>
            </w:r>
            <w:r>
              <w:rPr>
                <w:rFonts w:cs="Calibri"/>
                <w:bdr w:val="none" w:sz="0" w:space="0" w:color="000000"/>
              </w:rPr>
              <w:t>  </w:t>
            </w:r>
          </w:p>
          <w:p w14:paraId="286ED8C1" w14:textId="77777777" w:rsidR="00ED1F90" w:rsidRDefault="00ED1F90">
            <w:pPr>
              <w:pStyle w:val="TableContents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line="270" w:lineRule="atLeast"/>
              <w:ind w:left="1144"/>
            </w:pPr>
            <w:r>
              <w:rPr>
                <w:rFonts w:cs="Calibri"/>
                <w:sz w:val="24"/>
                <w:bdr w:val="none" w:sz="0" w:space="0" w:color="000000"/>
              </w:rPr>
              <w:t>wolność, sprawiedliwość, bezpieczeństwo;</w:t>
            </w:r>
            <w:r>
              <w:rPr>
                <w:rFonts w:cs="Calibri"/>
                <w:bdr w:val="none" w:sz="0" w:space="0" w:color="000000"/>
              </w:rPr>
              <w:t>  </w:t>
            </w:r>
          </w:p>
          <w:p w14:paraId="3F7E3D34" w14:textId="77777777" w:rsidR="00ED1F90" w:rsidRDefault="00ED1F90">
            <w:pPr>
              <w:pStyle w:val="TableContents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line="270" w:lineRule="atLeast"/>
              <w:ind w:left="1144"/>
            </w:pPr>
            <w:r>
              <w:rPr>
                <w:rFonts w:cs="Calibri"/>
                <w:sz w:val="24"/>
                <w:bdr w:val="none" w:sz="0" w:space="0" w:color="000000"/>
              </w:rPr>
              <w:t>uczciwość, troska, empatia i szacunek;</w:t>
            </w:r>
            <w:r>
              <w:rPr>
                <w:rFonts w:cs="Calibri"/>
                <w:bdr w:val="none" w:sz="0" w:space="0" w:color="000000"/>
              </w:rPr>
              <w:t>  </w:t>
            </w:r>
          </w:p>
          <w:p w14:paraId="68FECC9B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55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1693E2D5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2BEF57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rFonts w:cs="Calibri"/>
                <w:sz w:val="24"/>
                <w:bdr w:val="none" w:sz="0" w:space="0" w:color="000000"/>
              </w:rPr>
              <w:t>Zajęcia aktywne: dyskusja problemowa</w:t>
            </w:r>
            <w:r>
              <w:rPr>
                <w:bdr w:val="none" w:sz="0" w:space="0" w:color="000000"/>
              </w:rPr>
              <w:t>  </w:t>
            </w:r>
          </w:p>
          <w:p w14:paraId="1789A537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55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31717810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71D387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85" w:lineRule="atLeast"/>
              <w:ind w:firstLine="240"/>
            </w:pPr>
            <w:r>
              <w:rPr>
                <w:rFonts w:cs="Calibri"/>
                <w:sz w:val="24"/>
                <w:bdr w:val="none" w:sz="0" w:space="0" w:color="000000"/>
              </w:rPr>
              <w:t>Strategie społecznej i instytucjonalnej kontroli komunikacji: regulacja społeczna ('dobre wychowanie', rytuały komunikacyjne, kody kontrolne);</w:t>
            </w:r>
            <w:r>
              <w:rPr>
                <w:bdr w:val="none" w:sz="0" w:space="0" w:color="000000"/>
              </w:rPr>
              <w:t> </w:t>
            </w:r>
          </w:p>
          <w:p w14:paraId="23CCCD31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rFonts w:cs="Calibri"/>
                <w:sz w:val="24"/>
                <w:bdr w:val="none" w:sz="0" w:space="0" w:color="000000"/>
              </w:rPr>
              <w:t>Znaczenie uprzedzeń (bias), nastawień komunikacyjnych i kontekstu w analizie etycznej; *</w:t>
            </w:r>
            <w:r>
              <w:rPr>
                <w:bdr w:val="none" w:sz="0" w:space="0" w:color="000000"/>
              </w:rPr>
              <w:t>  </w:t>
            </w:r>
          </w:p>
          <w:p w14:paraId="02E8A0E7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4934B4EA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17D5DA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rFonts w:cs="Calibri"/>
                <w:sz w:val="24"/>
                <w:bdr w:val="none" w:sz="0" w:space="0" w:color="000000"/>
              </w:rPr>
              <w:t>Pułapki zasad i problem wewnętrznych sprzeczności postulatów aksjologicznych: wolność wypowiedzi, bezpieczne strefy, prywatność, etc.</w:t>
            </w:r>
            <w:r>
              <w:rPr>
                <w:bdr w:val="none" w:sz="0" w:space="0" w:color="000000"/>
              </w:rPr>
              <w:t>  </w:t>
            </w:r>
          </w:p>
          <w:p w14:paraId="52740D72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4E9B3F23" w14:textId="77777777"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0D616F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rFonts w:cs="Calibri"/>
                <w:sz w:val="24"/>
                <w:bdr w:val="none" w:sz="0" w:space="0" w:color="000000"/>
              </w:rPr>
              <w:t>Zajęcia aktywne, polityki, ekonomie, technologie komunikacyjne, ich znaczenie dla analiz aksjologicznych i etycznych;</w:t>
            </w:r>
            <w:r>
              <w:rPr>
                <w:bdr w:val="none" w:sz="0" w:space="0" w:color="000000"/>
              </w:rPr>
              <w:t>  </w:t>
            </w:r>
          </w:p>
          <w:p w14:paraId="4A5F8C6E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bdr w:val="none" w:sz="0" w:space="0" w:color="000000"/>
              </w:rPr>
              <w:t> </w:t>
            </w:r>
          </w:p>
        </w:tc>
      </w:tr>
      <w:tr w:rsidR="00ED1F90" w14:paraId="775BA05E" w14:textId="77777777">
        <w:tc>
          <w:tcPr>
            <w:tcW w:w="9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D20020" w14:textId="77777777" w:rsidR="00ED1F90" w:rsidRDefault="00ED1F90">
            <w:pPr>
              <w:pStyle w:val="TableContents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70" w:lineRule="atLeast"/>
              <w:ind w:firstLine="240"/>
            </w:pPr>
            <w:r>
              <w:rPr>
                <w:bdr w:val="none" w:sz="0" w:space="0" w:color="000000"/>
              </w:rPr>
              <w:t xml:space="preserve">Etyka komunikacji w </w:t>
            </w:r>
            <w:r>
              <w:rPr>
                <w:i/>
                <w:iCs/>
                <w:bdr w:val="none" w:sz="0" w:space="0" w:color="000000"/>
              </w:rPr>
              <w:t>postprawdziwym</w:t>
            </w:r>
            <w:r>
              <w:rPr>
                <w:bdr w:val="none" w:sz="0" w:space="0" w:color="000000"/>
              </w:rPr>
              <w:t xml:space="preserve"> świecie</w:t>
            </w:r>
          </w:p>
        </w:tc>
      </w:tr>
    </w:tbl>
    <w:p w14:paraId="112420B3" w14:textId="77777777" w:rsidR="00ED1F90" w:rsidRDefault="00ED1F90">
      <w:pPr>
        <w:sectPr w:rsidR="00ED1F90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320731E5" w14:textId="77777777" w:rsidR="00ED1F90" w:rsidRDefault="00ED1F90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</w:p>
    <w:p w14:paraId="5911E0E0" w14:textId="77777777" w:rsidR="00ED1F90" w:rsidRDefault="00ED1F90">
      <w:pPr>
        <w:pStyle w:val="Akapitzlist1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p w14:paraId="1DECE48B" w14:textId="77777777" w:rsidR="00ED1F90" w:rsidRDefault="00ED1F90">
      <w:pPr>
        <w:pStyle w:val="Akapitzlist1"/>
        <w:numPr>
          <w:ilvl w:val="0"/>
          <w:numId w:val="1"/>
        </w:numPr>
        <w:spacing w:line="240" w:lineRule="auto"/>
        <w:jc w:val="both"/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240862F1" w14:textId="77777777" w:rsidR="00ED1F90" w:rsidRDefault="00ED1F90">
      <w:pPr>
        <w:pStyle w:val="Akapitzlist1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ED1F90" w14:paraId="57A7103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8519" w14:textId="77777777" w:rsidR="00ED1F90" w:rsidRDefault="00ED1F90">
            <w:pPr>
              <w:pStyle w:val="Akapitzlist1"/>
              <w:spacing w:after="0" w:line="240" w:lineRule="auto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ED1F90" w14:paraId="243C910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B279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D1F90" w14:paraId="6CDDC25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89B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D1F90" w14:paraId="3003B51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106C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1947BDA7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70437845" w14:textId="77777777" w:rsidR="00ED1F90" w:rsidRDefault="00ED1F90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6769EFA4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661B5B17" w14:textId="77777777" w:rsidR="00ED1F90" w:rsidRDefault="00ED1F90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14:paraId="42826C81" w14:textId="77777777" w:rsidR="00ED1F90" w:rsidRDefault="00ED1F90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>wykład problemowy, 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14:paraId="208960F7" w14:textId="77777777" w:rsidR="00ED1F90" w:rsidRDefault="00ED1F90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1599DE0" w14:textId="77777777" w:rsidR="00ED1F90" w:rsidRDefault="00ED1F90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760A726A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9D436C3" w14:textId="77777777" w:rsidR="00ED1F90" w:rsidRDefault="00ED1F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D4579D5" w14:textId="77777777" w:rsidR="00ED1F90" w:rsidRDefault="00ED1F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D5FB38C" w14:textId="77777777" w:rsidR="00ED1F90" w:rsidRDefault="00ED1F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B77F387" w14:textId="77777777" w:rsidR="00ED1F90" w:rsidRDefault="00ED1F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3C64A94" w14:textId="77777777" w:rsidR="00ED1F90" w:rsidRDefault="00ED1F90">
      <w:pPr>
        <w:pStyle w:val="Punktygwne"/>
        <w:tabs>
          <w:tab w:val="left" w:pos="284"/>
        </w:tabs>
        <w:spacing w:before="0" w:after="0"/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6927BCA5" w14:textId="77777777" w:rsidR="00ED1F90" w:rsidRDefault="00ED1F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347CFE94" w14:textId="77777777" w:rsidR="00ED1F90" w:rsidRDefault="00ED1F90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3A3F382D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962"/>
        <w:gridCol w:w="5440"/>
        <w:gridCol w:w="2118"/>
      </w:tblGrid>
      <w:tr w:rsidR="00ED1F90" w14:paraId="1F6AC01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E9F8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9DD9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8A3DA2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6BB5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F0FE255" w14:textId="77777777" w:rsidR="00ED1F90" w:rsidRDefault="00ED1F90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ED1F90" w14:paraId="1BDC432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101D" w14:textId="77777777" w:rsidR="00FA05B3" w:rsidRDefault="00B4463E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  <w:p w14:paraId="5D579A01" w14:textId="2E61AF9B" w:rsidR="00ED1F90" w:rsidRDefault="00FA05B3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  <w:r w:rsidR="00B4463E">
              <w:rPr>
                <w:rFonts w:ascii="Corbel" w:hAnsi="Corbel" w:cs="Corbel"/>
                <w:b w:val="0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F0EF" w14:textId="242BA2BD" w:rsidR="00ED1F90" w:rsidRDefault="005F480B">
            <w:pPr>
              <w:pStyle w:val="Tekstpodstawowy"/>
              <w:snapToGrid w:val="0"/>
              <w:spacing w:after="0"/>
            </w:pPr>
            <w:bookmarkStart w:id="8" w:name="WACViewPanel_ClipboardElement11"/>
            <w:bookmarkEnd w:id="8"/>
            <w:r>
              <w:t>Egzamin</w:t>
            </w:r>
            <w:r w:rsidR="00FA05B3">
              <w:t xml:space="preserve"> w formie pisemnej</w:t>
            </w:r>
          </w:p>
          <w:p w14:paraId="3916A8C3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trike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1390" w14:textId="029B168D" w:rsidR="00ED1F90" w:rsidRDefault="00ED1F90">
            <w:pPr>
              <w:pStyle w:val="Punktygwne"/>
              <w:snapToGrid w:val="0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 xml:space="preserve">W </w:t>
            </w:r>
          </w:p>
        </w:tc>
      </w:tr>
      <w:tr w:rsidR="00ED1F90" w14:paraId="2F117BD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B7AD" w14:textId="6BB2127C" w:rsidR="00ED1F90" w:rsidRDefault="00FA05B3">
            <w:pPr>
              <w:pStyle w:val="Punktygwne"/>
              <w:spacing w:before="0" w:after="0"/>
            </w:pPr>
            <w:r>
              <w:t xml:space="preserve">Ek_03 </w:t>
            </w:r>
          </w:p>
          <w:p w14:paraId="6C09A9E0" w14:textId="15DF5901" w:rsidR="00FA05B3" w:rsidRDefault="00FA05B3">
            <w:pPr>
              <w:pStyle w:val="Punktygwne"/>
              <w:spacing w:before="0" w:after="0"/>
            </w:pPr>
            <w:r>
              <w:t>Ek_04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EDBC" w14:textId="163F8FC5" w:rsidR="00ED1F90" w:rsidRDefault="00FA05B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Aktywna dyskusja, zadania pomocnicze (case studies), praca w grupach, obserwacja w trakcie zajęć.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2CC5" w14:textId="2FEDF356" w:rsidR="00ED1F90" w:rsidRDefault="005F480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</w:tbl>
    <w:p w14:paraId="4CC91E74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AA23430" w14:textId="77777777" w:rsidR="00ED1F90" w:rsidRDefault="00ED1F90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1BB8EC6F" w14:textId="77777777" w:rsidR="00ED1F90" w:rsidRDefault="00ED1F90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ED1F90" w14:paraId="4058E47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0D62" w14:textId="77777777" w:rsidR="00ED1F90" w:rsidRDefault="00ED1F90">
            <w:pPr>
              <w:pStyle w:val="Tekstpodstawowy"/>
              <w:snapToGrid w:val="0"/>
              <w:spacing w:after="0"/>
            </w:pPr>
            <w:r>
              <w:rPr>
                <w:rFonts w:cs="Calibri"/>
                <w:sz w:val="24"/>
                <w:szCs w:val="24"/>
              </w:rPr>
              <w:t>Wykonanie wszystkich wyznaczonych zadań wraz z aktywnością na zajęciach jest podstawą zaliczenia przedmiotu.</w:t>
            </w:r>
          </w:p>
          <w:p w14:paraId="2D351EC7" w14:textId="77777777" w:rsidR="00ED1F90" w:rsidRDefault="00ED1F90">
            <w:pPr>
              <w:pStyle w:val="Tekstpodstawowy"/>
              <w:snapToGrid w:val="0"/>
              <w:spacing w:after="0"/>
            </w:pPr>
          </w:p>
          <w:p w14:paraId="69EA7848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Aktywne uczestnictwo w zajęciach: 50% (obejmuje udział w symulacjach)</w:t>
            </w:r>
          </w:p>
          <w:p w14:paraId="631540A4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- aktywność jest oceniania poprzez:</w:t>
            </w:r>
          </w:p>
          <w:p w14:paraId="415DAF4A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 xml:space="preserve"> - branie udziału w dyskusjach (np. zgłaszanie problemów i wątpliwości)</w:t>
            </w:r>
          </w:p>
          <w:p w14:paraId="421A904F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 xml:space="preserve"> - czynny udział w pracach grupowych w klasie</w:t>
            </w:r>
          </w:p>
          <w:p w14:paraId="101F0C28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- uczestnictwo w mikrosymulacjach (przygotowanie scenarusza, opracowanie rekwizytów, prezentacja i analiza/dyskusja ex-post); uczestnictwo w mikrosymulacjach jest obligatoryjnym warunkiem uzyskania zaliczenia; jeśli słuchacz z jakiejś przyczyny (‘obiektywnej’ bądź osobistej) nie może uczestniczyć w nich czynnie, brana jest pod uwagę praca przygotowawcza nad scenariuszem.</w:t>
            </w:r>
          </w:p>
          <w:p w14:paraId="12220BC3" w14:textId="77777777" w:rsidR="00ED1F90" w:rsidRDefault="00ED1F90">
            <w:pPr>
              <w:pStyle w:val="Tekstpodstawowy"/>
              <w:spacing w:line="300" w:lineRule="atLeast"/>
              <w:rPr>
                <w:rFonts w:cs="Calibri"/>
                <w:sz w:val="24"/>
              </w:rPr>
            </w:pPr>
          </w:p>
          <w:p w14:paraId="3F29F847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(uwaga: elementem oceny jest ocena wzajemna (peer-review)!)</w:t>
            </w:r>
          </w:p>
          <w:p w14:paraId="48269DB9" w14:textId="77777777" w:rsidR="00ED1F90" w:rsidRDefault="00ED1F90">
            <w:pPr>
              <w:pStyle w:val="Tekstpodstawowy"/>
              <w:spacing w:line="300" w:lineRule="atLeast"/>
            </w:pPr>
          </w:p>
          <w:p w14:paraId="0C7DAB8F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Zadania: 50%</w:t>
            </w:r>
          </w:p>
          <w:p w14:paraId="4C2B4F43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 xml:space="preserve">Zlecane zadania mają trojaki charakter: </w:t>
            </w:r>
            <w:r>
              <w:rPr>
                <w:rFonts w:cs="Calibri"/>
                <w:sz w:val="24"/>
              </w:rPr>
              <w:br/>
              <w:t>- arkusze refleksyjne mikrosymulacji, część pierwsza (refleksyjna) nie jest oceniana, część druga (analityczna)  jest oceniana wedle kryteriów:</w:t>
            </w:r>
          </w:p>
          <w:p w14:paraId="348C8DAA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 xml:space="preserve"> - utrzymanie zwięzłości (limit znaków)</w:t>
            </w:r>
            <w:r>
              <w:rPr>
                <w:rFonts w:cs="Calibri"/>
                <w:sz w:val="24"/>
              </w:rPr>
              <w:br/>
              <w:t xml:space="preserve"> - zastosowanie w analizie wiedzy o stylach argumentacji (i konkretnej teorii etycznej jeśli ma zastosowanie)</w:t>
            </w:r>
            <w:r>
              <w:rPr>
                <w:rFonts w:cs="Calibri"/>
                <w:sz w:val="24"/>
              </w:rPr>
              <w:br/>
              <w:t xml:space="preserve"> - adekwatność względem materiału mikrosymulacji</w:t>
            </w:r>
          </w:p>
          <w:p w14:paraId="0F2381CF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- zadania analityczne i analizy przypadków oceniane są wedle tych samych kryteriów co część analityczna arkusza refleksyjnego</w:t>
            </w:r>
          </w:p>
          <w:p w14:paraId="6037ADE0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lastRenderedPageBreak/>
              <w:t>- ankiety oceny badające poziom postrzeganego zaangażowania, kompetencji i satysfacji z zadań mikrosymulacyjnych oceniane są metoda ‘fail/pass’ (‘zaliczenie bez oceny’) ankiety mają dwojaki charakter: są narzędziem pomocniczym samooceny słuchacza/słuchaczki i raportem pomocniczym w analizie programu.</w:t>
            </w:r>
          </w:p>
          <w:p w14:paraId="531655BF" w14:textId="77777777" w:rsidR="00ED1F90" w:rsidRDefault="00ED1F90">
            <w:pPr>
              <w:pStyle w:val="Tekstpodstawowy"/>
              <w:spacing w:line="300" w:lineRule="atLeast"/>
            </w:pPr>
          </w:p>
          <w:p w14:paraId="1AE46565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14:paraId="47128179" w14:textId="77777777" w:rsidR="00ED1F90" w:rsidRDefault="00ED1F90">
            <w:pPr>
              <w:pStyle w:val="Tekstpodstawowy"/>
              <w:spacing w:line="300" w:lineRule="atLeast"/>
            </w:pPr>
          </w:p>
          <w:p w14:paraId="2BFDD820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i/>
                <w:iCs/>
                <w:sz w:val="24"/>
              </w:rPr>
              <w:t>System oceniania ma charakter ciagły i wypełnia kryteria egzaminacyjne. Tradycyjny egzamin czeka słuchaczy, którzy nie otrzymają pozytywnej oceny w tym systemie.</w:t>
            </w:r>
          </w:p>
          <w:p w14:paraId="4458FCF2" w14:textId="77777777" w:rsidR="00ED1F90" w:rsidRDefault="00ED1F90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14:paraId="24ECA808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Skala ocen:</w:t>
            </w:r>
          </w:p>
          <w:p w14:paraId="10A4CEED" w14:textId="4E2C59A1" w:rsidR="00ED1F90" w:rsidRDefault="00ED1F90" w:rsidP="00FA05B3">
            <w:pPr>
              <w:pStyle w:val="Tekstpodstawowy"/>
              <w:spacing w:line="300" w:lineRule="atLeast"/>
            </w:pPr>
            <w:r>
              <w:rPr>
                <w:rFonts w:cs="Calibri"/>
                <w:color w:val="953734"/>
              </w:rPr>
              <w:t xml:space="preserve">&lt; 49 – </w:t>
            </w:r>
            <w:r w:rsidR="00FA05B3">
              <w:rPr>
                <w:rFonts w:cs="Calibri"/>
                <w:color w:val="953734"/>
              </w:rPr>
              <w:t>2,0</w:t>
            </w:r>
          </w:p>
          <w:p w14:paraId="1DA31FB5" w14:textId="7078E8F0" w:rsidR="00ED1F90" w:rsidRDefault="00ED1F90">
            <w:pPr>
              <w:pStyle w:val="Tekstpodstawowy"/>
              <w:spacing w:line="270" w:lineRule="atLeast"/>
            </w:pPr>
            <w:r>
              <w:rPr>
                <w:rFonts w:cs="Calibri"/>
                <w:color w:val="938953"/>
              </w:rPr>
              <w:t>5</w:t>
            </w:r>
            <w:r w:rsidR="00FA05B3">
              <w:rPr>
                <w:rFonts w:cs="Calibri"/>
                <w:color w:val="938953"/>
              </w:rPr>
              <w:t>0</w:t>
            </w:r>
            <w:r>
              <w:rPr>
                <w:rFonts w:cs="Calibri"/>
                <w:color w:val="938953"/>
              </w:rPr>
              <w:t xml:space="preserve">-65 – </w:t>
            </w:r>
            <w:r w:rsidR="00FA05B3">
              <w:rPr>
                <w:rFonts w:cs="Calibri"/>
                <w:color w:val="938953"/>
              </w:rPr>
              <w:t>3,0</w:t>
            </w:r>
          </w:p>
          <w:p w14:paraId="160432C8" w14:textId="644FE751" w:rsidR="00ED1F90" w:rsidRDefault="00ED1F90">
            <w:pPr>
              <w:pStyle w:val="Tekstpodstawowy"/>
              <w:spacing w:line="270" w:lineRule="atLeast"/>
            </w:pPr>
            <w:r>
              <w:rPr>
                <w:rFonts w:cs="Calibri"/>
                <w:color w:val="95B3D7"/>
              </w:rPr>
              <w:t xml:space="preserve">66-70 – </w:t>
            </w:r>
            <w:r w:rsidR="00FA05B3">
              <w:rPr>
                <w:rFonts w:cs="Calibri"/>
                <w:color w:val="95B3D7"/>
              </w:rPr>
              <w:t>3,5</w:t>
            </w:r>
          </w:p>
          <w:p w14:paraId="7F44288A" w14:textId="5C6E87D8" w:rsidR="00ED1F90" w:rsidRDefault="00ED1F90">
            <w:pPr>
              <w:pStyle w:val="Tekstpodstawowy"/>
              <w:spacing w:line="270" w:lineRule="atLeast"/>
            </w:pPr>
            <w:r>
              <w:rPr>
                <w:rFonts w:cs="Calibri"/>
                <w:color w:val="C3D69B"/>
              </w:rPr>
              <w:t>71-</w:t>
            </w:r>
            <w:r w:rsidR="00FA05B3">
              <w:rPr>
                <w:rFonts w:cs="Calibri"/>
                <w:color w:val="C3D69B"/>
              </w:rPr>
              <w:t>85</w:t>
            </w:r>
            <w:r>
              <w:rPr>
                <w:rFonts w:cs="Calibri"/>
                <w:color w:val="C3D69B"/>
              </w:rPr>
              <w:t xml:space="preserve"> –</w:t>
            </w:r>
            <w:r w:rsidR="00FA05B3">
              <w:rPr>
                <w:rFonts w:cs="Calibri"/>
                <w:color w:val="C3D69B"/>
              </w:rPr>
              <w:t xml:space="preserve"> 4,0</w:t>
            </w:r>
          </w:p>
          <w:p w14:paraId="74D42001" w14:textId="3FC7510C" w:rsidR="00ED1F90" w:rsidRDefault="00ED1F90">
            <w:pPr>
              <w:pStyle w:val="Tekstpodstawowy"/>
              <w:spacing w:line="270" w:lineRule="atLeast"/>
            </w:pPr>
            <w:r>
              <w:rPr>
                <w:rFonts w:cs="Calibri"/>
                <w:color w:val="76923C"/>
              </w:rPr>
              <w:t xml:space="preserve">86-89 </w:t>
            </w:r>
            <w:r w:rsidR="00FA05B3">
              <w:rPr>
                <w:rFonts w:cs="Calibri"/>
                <w:color w:val="76923C"/>
              </w:rPr>
              <w:t>–</w:t>
            </w:r>
            <w:r>
              <w:rPr>
                <w:rFonts w:cs="Calibri"/>
                <w:color w:val="76923C"/>
              </w:rPr>
              <w:t xml:space="preserve"> </w:t>
            </w:r>
            <w:r w:rsidR="00FA05B3">
              <w:rPr>
                <w:rFonts w:cs="Calibri"/>
                <w:color w:val="76923C"/>
              </w:rPr>
              <w:t>4,5</w:t>
            </w:r>
          </w:p>
          <w:p w14:paraId="08DCB988" w14:textId="4869F8B4" w:rsidR="00ED1F90" w:rsidRDefault="00ED1F90">
            <w:pPr>
              <w:pStyle w:val="Tekstpodstawowy"/>
              <w:spacing w:line="270" w:lineRule="atLeast"/>
            </w:pPr>
            <w:r>
              <w:rPr>
                <w:rFonts w:cs="Calibri"/>
                <w:color w:val="4F6128"/>
              </w:rPr>
              <w:t>90-9</w:t>
            </w:r>
            <w:r w:rsidR="00FA05B3">
              <w:rPr>
                <w:rFonts w:cs="Calibri"/>
                <w:color w:val="4F6128"/>
              </w:rPr>
              <w:t>5</w:t>
            </w:r>
            <w:r>
              <w:rPr>
                <w:rFonts w:cs="Calibri"/>
                <w:color w:val="4F6128"/>
              </w:rPr>
              <w:t xml:space="preserve"> – </w:t>
            </w:r>
            <w:r w:rsidR="00C8127D">
              <w:rPr>
                <w:rFonts w:cs="Calibri"/>
                <w:color w:val="4F6128"/>
              </w:rPr>
              <w:t>5,0</w:t>
            </w:r>
          </w:p>
          <w:p w14:paraId="16C650EE" w14:textId="4852C067" w:rsidR="00ED1F90" w:rsidRDefault="00ED1F90">
            <w:pPr>
              <w:pStyle w:val="Tekstpodstawowy"/>
              <w:spacing w:line="270" w:lineRule="atLeast"/>
            </w:pPr>
          </w:p>
          <w:p w14:paraId="511B689E" w14:textId="77777777" w:rsidR="00ED1F90" w:rsidRDefault="00ED1F90">
            <w:pPr>
              <w:pStyle w:val="Tekstpodstawowy"/>
              <w:spacing w:line="300" w:lineRule="atLeast"/>
            </w:pPr>
          </w:p>
          <w:p w14:paraId="23894B0B" w14:textId="77777777" w:rsidR="00ED1F90" w:rsidRDefault="00ED1F90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14:paraId="6510B013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0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cs="Calibri"/>
                <w:i/>
                <w:iCs/>
                <w:sz w:val="20"/>
                <w:szCs w:val="20"/>
              </w:rPr>
              <w:t>praktykę</w:t>
            </w:r>
            <w:r>
              <w:rPr>
                <w:rFonts w:cs="Calibri"/>
                <w:sz w:val="20"/>
                <w:szCs w:val="20"/>
              </w:rPr>
              <w:t xml:space="preserve"> zastosowania wiedzy i umiejętności, odtwarzanie nabytej wiedzy nie jest priorytetem.</w:t>
            </w:r>
          </w:p>
          <w:p w14:paraId="4C3FA2E4" w14:textId="77777777" w:rsidR="00ED1F90" w:rsidRDefault="00ED1F90">
            <w:pPr>
              <w:pStyle w:val="Tekstpodstawowy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14:paraId="2D406DD6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1BC279B8" w14:textId="77777777" w:rsidR="00ED1F90" w:rsidRDefault="00ED1F90">
      <w:pPr>
        <w:pStyle w:val="Bezodstpw1"/>
        <w:ind w:left="284" w:hanging="284"/>
        <w:jc w:val="both"/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C44C8E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01"/>
        <w:gridCol w:w="4618"/>
      </w:tblGrid>
      <w:tr w:rsidR="00ED1F90" w14:paraId="218082D7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ACB8" w14:textId="77777777" w:rsidR="00ED1F90" w:rsidRDefault="00ED1F90">
            <w:pPr>
              <w:pStyle w:val="Akapitzlist1"/>
              <w:spacing w:after="0" w:line="240" w:lineRule="auto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CD1C" w14:textId="77777777" w:rsidR="00ED1F90" w:rsidRDefault="00ED1F90">
            <w:pPr>
              <w:pStyle w:val="Akapitzlist1"/>
              <w:spacing w:after="0" w:line="240" w:lineRule="auto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D1F90" w14:paraId="4B6E16C7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3983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3466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ED1F90" w14:paraId="3E406CE2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B572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3A79B87F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B10F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 i wedle potrzeb</w:t>
            </w:r>
          </w:p>
        </w:tc>
      </w:tr>
      <w:tr w:rsidR="00ED1F90" w14:paraId="01999F96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EB2C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6D53E55A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9CE4" w14:textId="77777777" w:rsidR="00ED1F90" w:rsidRDefault="007B139A">
            <w:pPr>
              <w:pStyle w:val="Akapitzlist1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ED1F90" w14:paraId="212CE453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FF47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3310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="007B139A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ED1F90" w14:paraId="0F370F0D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1333" w14:textId="77777777" w:rsidR="00ED1F90" w:rsidRDefault="00ED1F90">
            <w:pPr>
              <w:pStyle w:val="Akapitzlist1"/>
              <w:spacing w:after="0" w:line="240" w:lineRule="auto"/>
              <w:ind w:left="0"/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7D91" w14:textId="77777777" w:rsidR="00ED1F90" w:rsidRDefault="00ED1F90">
            <w:pPr>
              <w:pStyle w:val="Akapitzlist1"/>
              <w:snapToGrid w:val="0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E492470" w14:textId="77777777" w:rsidR="00ED1F90" w:rsidRDefault="00ED1F90">
      <w:pPr>
        <w:pStyle w:val="Punktygwne"/>
        <w:spacing w:before="0" w:after="0"/>
        <w:ind w:left="426"/>
      </w:pPr>
      <w:r>
        <w:rPr>
          <w:rFonts w:ascii="Corbel" w:hAnsi="Corbel" w:cs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6707B7CC" w14:textId="77777777" w:rsidR="00ED1F90" w:rsidRDefault="00ED1F90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E230885" w14:textId="77777777" w:rsidR="00ED1F90" w:rsidRDefault="00ED1F90">
      <w:pPr>
        <w:pStyle w:val="Punktygwne"/>
        <w:spacing w:before="0" w:after="0"/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110A9004" w14:textId="77777777" w:rsidR="00ED1F90" w:rsidRDefault="00ED1F90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78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543"/>
        <w:gridCol w:w="3969"/>
      </w:tblGrid>
      <w:tr w:rsidR="00ED1F90" w14:paraId="0F178566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97AF" w14:textId="77777777" w:rsidR="00ED1F90" w:rsidRDefault="00ED1F9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F131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D1F90" w14:paraId="2800B9E4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4E0F" w14:textId="77777777" w:rsidR="00ED1F90" w:rsidRDefault="00ED1F9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4B2D" w14:textId="77777777" w:rsidR="00ED1F90" w:rsidRDefault="00ED1F9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3EE830AD" w14:textId="77777777" w:rsidR="00ED1F90" w:rsidRDefault="00ED1F90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6CA0364F" w14:textId="77777777" w:rsidR="00ED1F90" w:rsidRDefault="00ED1F90">
      <w:pPr>
        <w:pStyle w:val="Punktygwne"/>
        <w:spacing w:before="0" w:after="0"/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59507041" w14:textId="77777777" w:rsidR="00ED1F90" w:rsidRDefault="00ED1F90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78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513"/>
      </w:tblGrid>
      <w:tr w:rsidR="00ED1F90" w14:paraId="0D0CDC23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5BAE" w14:textId="77777777" w:rsidR="00ED1F90" w:rsidRDefault="00ED1F9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629D1BE5" w14:textId="77777777" w:rsidR="00ED1F90" w:rsidRDefault="00ED1F90">
            <w:pPr>
              <w:pStyle w:val="Tekstpodstawowy"/>
              <w:numPr>
                <w:ilvl w:val="0"/>
                <w:numId w:val="5"/>
              </w:numPr>
              <w:spacing w:after="0"/>
            </w:pPr>
            <w:r>
              <w:rPr>
                <w:rFonts w:cs="Calibri"/>
                <w:sz w:val="24"/>
                <w:szCs w:val="24"/>
              </w:rPr>
              <w:t xml:space="preserve">Winkin Y., (2007), </w:t>
            </w:r>
            <w:r>
              <w:rPr>
                <w:rFonts w:cs="Calibri"/>
                <w:i/>
                <w:sz w:val="24"/>
                <w:szCs w:val="24"/>
              </w:rPr>
              <w:t>Antropologia komunikacji. Od teorii do badań terenowych</w:t>
            </w:r>
            <w:r>
              <w:rPr>
                <w:rFonts w:cs="Calibri"/>
                <w:sz w:val="24"/>
                <w:szCs w:val="24"/>
              </w:rPr>
              <w:t>, tł. A. Karpowicz, wst. W. Burszta, Wydawnictwo Uniwersytetu Warszawskiego, Warszawa</w:t>
            </w:r>
            <w:r>
              <w:rPr>
                <w:rFonts w:cs="Calibri"/>
                <w:szCs w:val="24"/>
              </w:rPr>
              <w:t> </w:t>
            </w:r>
          </w:p>
          <w:p w14:paraId="4043F96E" w14:textId="77777777" w:rsidR="00ED1F90" w:rsidRDefault="00ED1F90">
            <w:pPr>
              <w:pStyle w:val="Tekstpodstawowy"/>
              <w:numPr>
                <w:ilvl w:val="0"/>
                <w:numId w:val="5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Woleński J., Hartman J., (2008) </w:t>
            </w:r>
            <w:r>
              <w:rPr>
                <w:rFonts w:cs="Calibri"/>
                <w:i/>
                <w:sz w:val="24"/>
              </w:rPr>
              <w:t>Wiedza o etyce</w:t>
            </w:r>
            <w:r>
              <w:rPr>
                <w:rFonts w:cs="Calibri"/>
                <w:sz w:val="24"/>
              </w:rPr>
              <w:t>, ParkEdukacja, Wyd. Szkolne PWN, Warszawa – Bielsko-Biała</w:t>
            </w:r>
            <w:r>
              <w:rPr>
                <w:rFonts w:cs="Calibri"/>
              </w:rPr>
              <w:t> </w:t>
            </w:r>
          </w:p>
          <w:p w14:paraId="0AC4D79E" w14:textId="77777777" w:rsidR="00ED1F90" w:rsidRDefault="00ED1F90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3C907608" w14:textId="77777777" w:rsidR="00ED1F90" w:rsidRDefault="00ED1F90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ED1F90" w14:paraId="2425D11E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EC47" w14:textId="77777777" w:rsidR="00ED1F90" w:rsidRDefault="00ED1F9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263728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after="0"/>
            </w:pPr>
            <w:r>
              <w:rPr>
                <w:rFonts w:cs="Calibri"/>
                <w:sz w:val="24"/>
                <w:szCs w:val="24"/>
              </w:rPr>
              <w:t xml:space="preserve">(2004) </w:t>
            </w:r>
            <w:r>
              <w:rPr>
                <w:rFonts w:cs="Calibri"/>
                <w:i/>
                <w:sz w:val="24"/>
                <w:szCs w:val="24"/>
              </w:rPr>
              <w:t>Rytualizacja w komunikacji społecznej i interkulturowej</w:t>
            </w:r>
            <w:r>
              <w:rPr>
                <w:rFonts w:cs="Calibri"/>
                <w:sz w:val="24"/>
                <w:szCs w:val="24"/>
              </w:rPr>
              <w:t>, (red.) J. Mazur, Lublin</w:t>
            </w:r>
            <w:r>
              <w:rPr>
                <w:rFonts w:cs="Calibri"/>
                <w:szCs w:val="24"/>
              </w:rPr>
              <w:t> </w:t>
            </w:r>
          </w:p>
          <w:p w14:paraId="1B1EF1CB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(2006) </w:t>
            </w:r>
            <w:r>
              <w:rPr>
                <w:rFonts w:cs="Calibri"/>
                <w:i/>
                <w:sz w:val="24"/>
              </w:rPr>
              <w:t>Język w urzędach i sądach,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sz w:val="24"/>
              </w:rPr>
              <w:t>(red.) M. T. Lizisowa, Kraków</w:t>
            </w:r>
            <w:r>
              <w:rPr>
                <w:rFonts w:cs="Calibri"/>
              </w:rPr>
              <w:t> </w:t>
            </w:r>
          </w:p>
          <w:p w14:paraId="0D2EC0C1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Anderson, Kenneth E., (1984) </w:t>
            </w:r>
            <w:r w:rsidRPr="00A947E2">
              <w:rPr>
                <w:rFonts w:cs="Calibri"/>
                <w:i/>
                <w:sz w:val="24"/>
                <w:lang w:val="en-GB"/>
              </w:rPr>
              <w:t>Communication Ethics: The Non-Participant's Role</w:t>
            </w:r>
            <w:r w:rsidRPr="00A947E2">
              <w:rPr>
                <w:rFonts w:cs="Calibri"/>
                <w:sz w:val="24"/>
                <w:lang w:val="en-GB"/>
              </w:rPr>
              <w:t>, „The South-ern Speech Communication Journal” 44 s. 219-228</w:t>
            </w:r>
            <w:r w:rsidRPr="00A947E2">
              <w:rPr>
                <w:rFonts w:cs="Calibri"/>
                <w:lang w:val="en-GB"/>
              </w:rPr>
              <w:t> </w:t>
            </w:r>
          </w:p>
          <w:p w14:paraId="55A574F1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Arnett, Ronald C., (1990) </w:t>
            </w:r>
            <w:r w:rsidRPr="00A947E2">
              <w:rPr>
                <w:rFonts w:cs="Calibri"/>
                <w:i/>
                <w:sz w:val="24"/>
                <w:lang w:val="en-GB"/>
              </w:rPr>
              <w:t>The Practical Philosophy of Communication Ethics and Free Speech as the Foundation for Speech Communication,</w:t>
            </w:r>
            <w:r w:rsidRPr="00A947E2">
              <w:rPr>
                <w:rFonts w:cs="Calibri"/>
                <w:lang w:val="en-GB"/>
              </w:rPr>
              <w:t xml:space="preserve"> „</w:t>
            </w:r>
            <w:r w:rsidRPr="00A947E2">
              <w:rPr>
                <w:rFonts w:cs="Calibri"/>
                <w:sz w:val="24"/>
                <w:lang w:val="en-GB"/>
              </w:rPr>
              <w:t>Communication Quarterly” 38 s. 208-17.</w:t>
            </w:r>
            <w:r w:rsidRPr="00A947E2">
              <w:rPr>
                <w:rFonts w:cs="Calibri"/>
                <w:lang w:val="en-GB"/>
              </w:rPr>
              <w:t> </w:t>
            </w:r>
          </w:p>
          <w:p w14:paraId="478430AB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Błachowicz E., (2010) </w:t>
            </w:r>
            <w:r>
              <w:rPr>
                <w:rFonts w:cs="Calibri"/>
                <w:i/>
                <w:sz w:val="24"/>
              </w:rPr>
              <w:t>Plotka w świetle teorii aktów mowy i zasad etyki komunikacji międzyludzkiej</w:t>
            </w:r>
            <w:r>
              <w:rPr>
                <w:rFonts w:cs="Calibri"/>
                <w:sz w:val="24"/>
              </w:rPr>
              <w:t>, Rzeszów</w:t>
            </w:r>
            <w:r>
              <w:rPr>
                <w:rFonts w:cs="Calibri"/>
              </w:rPr>
              <w:t> </w:t>
            </w:r>
          </w:p>
          <w:p w14:paraId="354BF846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285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Bourdieu P., Wacquant L. (2001) </w:t>
            </w:r>
            <w:r w:rsidRPr="00A947E2">
              <w:rPr>
                <w:rFonts w:cs="Calibri"/>
                <w:i/>
                <w:sz w:val="24"/>
                <w:lang w:val="en-GB"/>
              </w:rPr>
              <w:t>Neoliberal newspeak: notes on the new planetary vulgate</w:t>
            </w:r>
            <w:r w:rsidRPr="00A947E2">
              <w:rPr>
                <w:rFonts w:cs="Calibri"/>
                <w:sz w:val="24"/>
                <w:lang w:val="en-GB"/>
              </w:rPr>
              <w:t xml:space="preserve">, tł. Macey D. and Wacquant L. "Radical Philosophy", 108, </w:t>
            </w:r>
            <w:hyperlink r:id="rId7" w:anchor="_blank" w:history="1">
              <w:r w:rsidRPr="00A947E2">
                <w:rPr>
                  <w:rStyle w:val="Hipercze"/>
                  <w:rFonts w:cs="Calibri"/>
                  <w:sz w:val="24"/>
                  <w:lang w:val="en-GB"/>
                </w:rPr>
                <w:t>https://www.radicalphilosophyarchive.com/commentary/newliberalspeak</w:t>
              </w:r>
            </w:hyperlink>
            <w:r w:rsidRPr="00A947E2">
              <w:rPr>
                <w:rFonts w:cs="Calibri"/>
                <w:lang w:val="en-GB"/>
              </w:rPr>
              <w:t> </w:t>
            </w:r>
          </w:p>
          <w:p w14:paraId="3E805B57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Burszta W., (1998) </w:t>
            </w:r>
            <w:r>
              <w:rPr>
                <w:rFonts w:cs="Calibri"/>
                <w:i/>
                <w:sz w:val="24"/>
              </w:rPr>
              <w:t>Antropologia kultury</w:t>
            </w:r>
            <w:r>
              <w:rPr>
                <w:rFonts w:cs="Calibri"/>
                <w:sz w:val="24"/>
              </w:rPr>
              <w:t>, Zysk-Ska, Poznań</w:t>
            </w:r>
            <w:r>
              <w:rPr>
                <w:rFonts w:cs="Calibri"/>
              </w:rPr>
              <w:t> </w:t>
            </w:r>
          </w:p>
          <w:p w14:paraId="5D3CDE23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Butler J., (2003) </w:t>
            </w:r>
            <w:r>
              <w:rPr>
                <w:rFonts w:cs="Calibri"/>
                <w:i/>
                <w:sz w:val="24"/>
              </w:rPr>
              <w:t>Imitacja i nieposłuszeństwo płciowe</w:t>
            </w:r>
            <w:r>
              <w:rPr>
                <w:rFonts w:cs="Calibri"/>
                <w:sz w:val="24"/>
              </w:rPr>
              <w:t>, tł. F. Majewska, „Przegląd filozoficzno-literacki” 1(3) s. 89-109</w:t>
            </w:r>
            <w:r>
              <w:rPr>
                <w:rFonts w:cs="Calibri"/>
              </w:rPr>
              <w:t> </w:t>
            </w:r>
          </w:p>
          <w:p w14:paraId="0322D423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Condon, John., (1981) </w:t>
            </w:r>
            <w:r w:rsidRPr="00A947E2">
              <w:rPr>
                <w:rFonts w:cs="Calibri"/>
                <w:i/>
                <w:sz w:val="24"/>
                <w:lang w:val="en-GB"/>
              </w:rPr>
              <w:t>Values and Ethics in Communication Across Cultures: Some Notes on the North American Case,</w:t>
            </w:r>
            <w:r w:rsidRPr="00A947E2">
              <w:rPr>
                <w:rFonts w:cs="Calibri"/>
                <w:lang w:val="en-GB"/>
              </w:rPr>
              <w:t xml:space="preserve"> „</w:t>
            </w:r>
            <w:r w:rsidRPr="00A947E2">
              <w:rPr>
                <w:rFonts w:cs="Calibri"/>
                <w:sz w:val="24"/>
                <w:lang w:val="en-GB"/>
              </w:rPr>
              <w:t>Communication” 6 s. 255-65.</w:t>
            </w:r>
            <w:r w:rsidRPr="00A947E2">
              <w:rPr>
                <w:rFonts w:cs="Calibri"/>
                <w:lang w:val="en-GB"/>
              </w:rPr>
              <w:t> </w:t>
            </w:r>
          </w:p>
          <w:p w14:paraId="6A30FA02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Douglas M. </w:t>
            </w:r>
            <w:r>
              <w:rPr>
                <w:rFonts w:cs="Calibri"/>
                <w:i/>
                <w:sz w:val="24"/>
              </w:rPr>
              <w:t>Czystość i zmaza</w:t>
            </w:r>
            <w:r>
              <w:rPr>
                <w:rFonts w:cs="Calibri"/>
                <w:sz w:val="24"/>
              </w:rPr>
              <w:t>, tł. M. Bucholc, wstep: J. Tokarska-</w:t>
            </w:r>
            <w:r>
              <w:rPr>
                <w:rFonts w:cs="Calibri"/>
                <w:sz w:val="24"/>
              </w:rPr>
              <w:lastRenderedPageBreak/>
              <w:t>Bakir, Warszawa 2007</w:t>
            </w:r>
            <w:r>
              <w:rPr>
                <w:rFonts w:cs="Calibri"/>
              </w:rPr>
              <w:t> </w:t>
            </w:r>
          </w:p>
          <w:p w14:paraId="73F420E0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Geertz Cl., (2003) </w:t>
            </w:r>
            <w:r>
              <w:rPr>
                <w:rFonts w:cs="Calibri"/>
                <w:i/>
                <w:sz w:val="24"/>
              </w:rPr>
              <w:t>Zastane światło, antropologiczne refleksje na tematy filozoficzne</w:t>
            </w:r>
            <w:r>
              <w:rPr>
                <w:rFonts w:cs="Calibri"/>
                <w:sz w:val="24"/>
              </w:rPr>
              <w:t>, tł. i wstęp Z. Pucek, Kraków</w:t>
            </w:r>
            <w:r>
              <w:rPr>
                <w:rFonts w:cs="Calibri"/>
              </w:rPr>
              <w:t> </w:t>
            </w:r>
          </w:p>
          <w:p w14:paraId="779E35C5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285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Goc N, (2007), </w:t>
            </w:r>
            <w:r w:rsidRPr="00A947E2">
              <w:rPr>
                <w:rFonts w:cs="Calibri"/>
                <w:lang w:val="en-GB"/>
              </w:rPr>
              <w:t>‘</w:t>
            </w:r>
            <w:r w:rsidRPr="00A947E2">
              <w:rPr>
                <w:rFonts w:cs="Calibri"/>
                <w:i/>
                <w:sz w:val="24"/>
                <w:lang w:val="en-GB"/>
              </w:rPr>
              <w:t>Monstrous Mother’ and the Media</w:t>
            </w:r>
            <w:r w:rsidRPr="00A947E2">
              <w:rPr>
                <w:rFonts w:cs="Calibri"/>
                <w:sz w:val="24"/>
                <w:lang w:val="en-GB"/>
              </w:rPr>
              <w:t xml:space="preserve">, [w:] </w:t>
            </w:r>
            <w:r w:rsidRPr="00A947E2">
              <w:rPr>
                <w:rFonts w:cs="Calibri"/>
                <w:i/>
                <w:sz w:val="24"/>
                <w:lang w:val="en-GB"/>
              </w:rPr>
              <w:t>Monsters And The Monstrous: Myths and Metaphors of Enduring Evil</w:t>
            </w:r>
            <w:r w:rsidRPr="00A947E2">
              <w:rPr>
                <w:rFonts w:cs="Calibri"/>
                <w:sz w:val="24"/>
                <w:lang w:val="en-GB"/>
              </w:rPr>
              <w:t xml:space="preserve">, (red). N. Scott, Amsterdam-New York, s. 149-167; online: </w:t>
            </w:r>
            <w:hyperlink r:id="rId8" w:anchor="_blank" w:history="1">
              <w:r w:rsidRPr="00A947E2">
                <w:rPr>
                  <w:rStyle w:val="Hipercze"/>
                  <w:rFonts w:cs="Calibri"/>
                  <w:sz w:val="24"/>
                  <w:lang w:val="en-GB"/>
                </w:rPr>
                <w:t>https://eprints.utas.edu.au/8453/</w:t>
              </w:r>
            </w:hyperlink>
            <w:r w:rsidRPr="00A947E2">
              <w:rPr>
                <w:rFonts w:cs="Calibri"/>
                <w:lang w:val="en-GB"/>
              </w:rPr>
              <w:t> </w:t>
            </w:r>
          </w:p>
          <w:p w14:paraId="0B81C546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Goffman E., (2007) </w:t>
            </w:r>
            <w:r>
              <w:rPr>
                <w:rFonts w:cs="Calibri"/>
                <w:i/>
                <w:sz w:val="24"/>
              </w:rPr>
              <w:t>Pietno. Rozważania o zranionej tożsamości</w:t>
            </w:r>
            <w:r>
              <w:rPr>
                <w:rFonts w:cs="Calibri"/>
                <w:sz w:val="24"/>
              </w:rPr>
              <w:t>, tł. A. Dzierżynska, J. Tokarska-Bakir, wstęp: J. Tokarska-Bakir, Gdańsk</w:t>
            </w:r>
            <w:r>
              <w:rPr>
                <w:rFonts w:cs="Calibri"/>
              </w:rPr>
              <w:t> </w:t>
            </w:r>
          </w:p>
          <w:p w14:paraId="0C79C7E7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Grudzińska I., (2004) </w:t>
            </w:r>
            <w:r>
              <w:rPr>
                <w:rFonts w:cs="Calibri"/>
                <w:i/>
                <w:sz w:val="24"/>
              </w:rPr>
              <w:t>Podejrzane pochodzenie jako kategoria kultury polskiej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sz w:val="24"/>
              </w:rPr>
              <w:t xml:space="preserve">(w:) </w:t>
            </w:r>
            <w:r>
              <w:rPr>
                <w:rFonts w:cs="Calibri"/>
                <w:i/>
                <w:sz w:val="24"/>
              </w:rPr>
              <w:t>Inna, Inny, Inne. O inności w kulturze,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sz w:val="24"/>
              </w:rPr>
              <w:t>(red:) M. Janion, Cl. Snochowska-Gonzales, K. Szczuka, Warszawa</w:t>
            </w:r>
            <w:r>
              <w:rPr>
                <w:rFonts w:cs="Calibri"/>
              </w:rPr>
              <w:t> </w:t>
            </w:r>
          </w:p>
          <w:p w14:paraId="36F6A89C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Gryffin E., (2003) </w:t>
            </w:r>
            <w:r>
              <w:rPr>
                <w:rFonts w:cs="Calibri"/>
                <w:i/>
                <w:sz w:val="24"/>
              </w:rPr>
              <w:t>Postawy komunikacji społecznej</w:t>
            </w:r>
            <w:r>
              <w:rPr>
                <w:rFonts w:cs="Calibri"/>
                <w:sz w:val="24"/>
              </w:rPr>
              <w:t>, Gdańsk</w:t>
            </w:r>
            <w:r>
              <w:rPr>
                <w:rFonts w:cs="Calibri"/>
              </w:rPr>
              <w:t> </w:t>
            </w:r>
          </w:p>
          <w:p w14:paraId="2FAF2B49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Habrajska Gr. (2018) </w:t>
            </w:r>
            <w:r>
              <w:rPr>
                <w:rFonts w:cs="Calibri"/>
                <w:i/>
                <w:sz w:val="24"/>
              </w:rPr>
              <w:t>Etyka w komunikacji</w:t>
            </w:r>
            <w:r>
              <w:rPr>
                <w:rFonts w:cs="Calibri"/>
                <w:sz w:val="24"/>
              </w:rPr>
              <w:t>, Primum Verbum (e-book, pdf)*</w:t>
            </w:r>
            <w:r>
              <w:rPr>
                <w:rFonts w:cs="Calibri"/>
              </w:rPr>
              <w:t> </w:t>
            </w:r>
          </w:p>
          <w:p w14:paraId="6E1C555A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Jędrzejko E., Kita M. , (2002) </w:t>
            </w:r>
            <w:r>
              <w:rPr>
                <w:rFonts w:cs="Calibri"/>
                <w:i/>
                <w:sz w:val="24"/>
              </w:rPr>
              <w:t>Słowa grzeczne i serdeczne, czyli o języku życzliwym na co dzień i od święta</w:t>
            </w:r>
            <w:r>
              <w:rPr>
                <w:rFonts w:cs="Calibri"/>
                <w:sz w:val="24"/>
              </w:rPr>
              <w:t>, Warszawa.</w:t>
            </w:r>
            <w:r>
              <w:rPr>
                <w:rFonts w:cs="Calibri"/>
              </w:rPr>
              <w:t> </w:t>
            </w:r>
          </w:p>
          <w:p w14:paraId="500342A0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Kita M., (2005) </w:t>
            </w:r>
            <w:r>
              <w:rPr>
                <w:rFonts w:cs="Calibri"/>
                <w:i/>
                <w:sz w:val="24"/>
              </w:rPr>
              <w:t>Językowe rytuały grzecznościowe</w:t>
            </w:r>
            <w:r>
              <w:rPr>
                <w:rFonts w:cs="Calibri"/>
                <w:sz w:val="24"/>
              </w:rPr>
              <w:t>, Katowice</w:t>
            </w:r>
            <w:r>
              <w:rPr>
                <w:rFonts w:cs="Calibri"/>
              </w:rPr>
              <w:t> </w:t>
            </w:r>
          </w:p>
          <w:p w14:paraId="281FC161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Marcjanik M., ( 2007) </w:t>
            </w:r>
            <w:r>
              <w:rPr>
                <w:rFonts w:cs="Calibri"/>
                <w:i/>
                <w:sz w:val="24"/>
              </w:rPr>
              <w:t>Grzeczność w komunikacji językowej</w:t>
            </w:r>
            <w:r>
              <w:rPr>
                <w:rFonts w:cs="Calibri"/>
                <w:sz w:val="24"/>
              </w:rPr>
              <w:t>, Warszawa</w:t>
            </w:r>
            <w:r>
              <w:rPr>
                <w:rFonts w:cs="Calibri"/>
              </w:rPr>
              <w:t> </w:t>
            </w:r>
          </w:p>
          <w:p w14:paraId="654A6421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Mirzoeff N., (2006) </w:t>
            </w:r>
            <w:r w:rsidRPr="00A947E2">
              <w:rPr>
                <w:rFonts w:cs="Calibri"/>
                <w:i/>
                <w:sz w:val="24"/>
                <w:lang w:val="en-GB"/>
              </w:rPr>
              <w:t>Invisible empire: Visual culture, embodied spectacle, and Abu Ghraib</w:t>
            </w:r>
            <w:r w:rsidRPr="00A947E2">
              <w:rPr>
                <w:rFonts w:cs="Calibri"/>
                <w:sz w:val="24"/>
                <w:lang w:val="en-GB"/>
              </w:rPr>
              <w:t>, "Radical History Review" s. 95-21</w:t>
            </w:r>
            <w:r w:rsidRPr="00A947E2">
              <w:rPr>
                <w:rFonts w:cs="Calibri"/>
                <w:lang w:val="en-GB"/>
              </w:rPr>
              <w:t> </w:t>
            </w:r>
          </w:p>
          <w:p w14:paraId="71F0212C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Morreale S.P., Spitzberg B.H., Barge J.K., (2000) </w:t>
            </w:r>
            <w:r>
              <w:rPr>
                <w:rFonts w:cs="Calibri"/>
                <w:i/>
                <w:sz w:val="24"/>
              </w:rPr>
              <w:t>Komunikacja między ludźmi. Motywacja, wiedza i umiejętności</w:t>
            </w:r>
            <w:r>
              <w:rPr>
                <w:rFonts w:cs="Calibri"/>
                <w:sz w:val="24"/>
              </w:rPr>
              <w:t>, Wydawnictwo Naukowe PWN, Warszawa</w:t>
            </w:r>
            <w:r>
              <w:rPr>
                <w:rFonts w:cs="Calibri"/>
              </w:rPr>
              <w:t> </w:t>
            </w:r>
          </w:p>
          <w:p w14:paraId="2435975D" w14:textId="77777777" w:rsidR="00ED1F90" w:rsidRPr="00A947E2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  <w:rPr>
                <w:lang w:val="en-GB"/>
              </w:rPr>
            </w:pPr>
            <w:r w:rsidRPr="00A947E2">
              <w:rPr>
                <w:rFonts w:cs="Calibri"/>
                <w:sz w:val="24"/>
                <w:lang w:val="en-GB"/>
              </w:rPr>
              <w:t xml:space="preserve">Mukherjea, A, (2011), </w:t>
            </w:r>
            <w:r w:rsidRPr="00A947E2">
              <w:rPr>
                <w:rFonts w:cs="Calibri"/>
                <w:i/>
                <w:sz w:val="24"/>
                <w:lang w:val="en-GB"/>
              </w:rPr>
              <w:t>My Vampire Boyfriend: Postfeminism, “Perfect” Masculinity, and the Contemporary Appeal of Paranormal Romance</w:t>
            </w:r>
            <w:r w:rsidRPr="00A947E2">
              <w:rPr>
                <w:rFonts w:cs="Calibri"/>
                <w:lang w:val="en-GB"/>
              </w:rPr>
              <w:t xml:space="preserve"> </w:t>
            </w:r>
            <w:r w:rsidRPr="00A947E2">
              <w:rPr>
                <w:rFonts w:cs="Calibri"/>
                <w:sz w:val="24"/>
                <w:lang w:val="en-GB"/>
              </w:rPr>
              <w:t xml:space="preserve">[w:] </w:t>
            </w:r>
            <w:r w:rsidRPr="00A947E2">
              <w:rPr>
                <w:rFonts w:cs="Calibri"/>
                <w:i/>
                <w:sz w:val="24"/>
                <w:lang w:val="en-GB"/>
              </w:rPr>
              <w:t>Studies in Popular Culture</w:t>
            </w:r>
            <w:r w:rsidRPr="00A947E2">
              <w:rPr>
                <w:rFonts w:cs="Calibri"/>
                <w:sz w:val="24"/>
                <w:lang w:val="en-GB"/>
              </w:rPr>
              <w:t xml:space="preserve">, 33.2 (red.) Rhonda V. Wilcox, Popular Culture Association in The South (bmw) </w:t>
            </w:r>
            <w:hyperlink r:id="rId9" w:anchor="_blank" w:history="1">
              <w:r w:rsidRPr="00A947E2">
                <w:rPr>
                  <w:rStyle w:val="Hipercze"/>
                  <w:rFonts w:cs="Calibri"/>
                  <w:sz w:val="24"/>
                  <w:lang w:val="en-GB"/>
                </w:rPr>
                <w:t>https://www.jstor.org/stable/23416381</w:t>
              </w:r>
            </w:hyperlink>
            <w:r w:rsidRPr="00A947E2">
              <w:rPr>
                <w:rFonts w:cs="Calibri"/>
                <w:lang w:val="en-GB"/>
              </w:rPr>
              <w:t xml:space="preserve"> </w:t>
            </w:r>
            <w:r w:rsidRPr="00A947E2">
              <w:rPr>
                <w:rFonts w:cs="Calibri"/>
                <w:sz w:val="24"/>
                <w:lang w:val="en-GB"/>
              </w:rPr>
              <w:t>(free access)</w:t>
            </w:r>
            <w:r w:rsidRPr="00A947E2">
              <w:rPr>
                <w:rFonts w:cs="Calibri"/>
                <w:lang w:val="en-GB"/>
              </w:rPr>
              <w:t> </w:t>
            </w:r>
          </w:p>
          <w:p w14:paraId="36FC805C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Tazbir J., (1996) </w:t>
            </w:r>
            <w:r>
              <w:rPr>
                <w:rFonts w:cs="Calibri"/>
                <w:i/>
                <w:sz w:val="24"/>
              </w:rPr>
              <w:t>Wojna na pomniki</w:t>
            </w:r>
            <w:r>
              <w:rPr>
                <w:rFonts w:cs="Calibri"/>
                <w:sz w:val="24"/>
              </w:rPr>
              <w:t>, „Polityka” nr 29/1996</w:t>
            </w:r>
            <w:r>
              <w:rPr>
                <w:rFonts w:cs="Calibri"/>
              </w:rPr>
              <w:t> </w:t>
            </w:r>
          </w:p>
          <w:p w14:paraId="0FD51E65" w14:textId="77777777" w:rsidR="00ED1F90" w:rsidRDefault="00ED1F90">
            <w:pPr>
              <w:pStyle w:val="Tekstpodstawowy"/>
              <w:numPr>
                <w:ilvl w:val="0"/>
                <w:numId w:val="4"/>
              </w:numPr>
              <w:spacing w:line="300" w:lineRule="atLeast"/>
            </w:pPr>
            <w:r>
              <w:rPr>
                <w:rFonts w:cs="Calibri"/>
                <w:sz w:val="24"/>
              </w:rPr>
              <w:t xml:space="preserve">Zizek S., (2001) </w:t>
            </w:r>
            <w:r>
              <w:rPr>
                <w:rFonts w:cs="Calibri"/>
                <w:i/>
                <w:sz w:val="24"/>
              </w:rPr>
              <w:t>Przekleństwo fantazji,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sz w:val="24"/>
              </w:rPr>
              <w:t>tł A. Chmielewski Wrocław</w:t>
            </w:r>
            <w:r>
              <w:rPr>
                <w:rFonts w:cs="Calibri"/>
              </w:rPr>
              <w:t> </w:t>
            </w:r>
          </w:p>
          <w:p w14:paraId="7DFBBB6A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b/>
                <w:sz w:val="24"/>
              </w:rPr>
              <w:t>Uwaga:</w:t>
            </w:r>
            <w:r>
              <w:t xml:space="preserve"> </w:t>
            </w:r>
            <w:r>
              <w:rPr>
                <w:rFonts w:cs="Calibri"/>
                <w:sz w:val="24"/>
              </w:rPr>
              <w:t>kurs obejmuje materiały online wskazane przez prowadzącego oraz swobodnie dobierane przez uczestników.</w:t>
            </w:r>
          </w:p>
          <w:p w14:paraId="3D51D096" w14:textId="77777777" w:rsidR="00ED1F90" w:rsidRDefault="00ED1F90">
            <w:pPr>
              <w:pStyle w:val="Tekstpodstawowy"/>
              <w:spacing w:line="300" w:lineRule="atLeast"/>
            </w:pPr>
            <w:r>
              <w:rPr>
                <w:rFonts w:cs="Calibri"/>
                <w:sz w:val="24"/>
              </w:rPr>
              <w:t>Materiały pomocnicze są aktualizowane na bieżąco.</w:t>
            </w:r>
          </w:p>
          <w:p w14:paraId="06BBE6BC" w14:textId="77777777" w:rsidR="00ED1F90" w:rsidRDefault="00ED1F90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718F5E69" w14:textId="77777777" w:rsidR="00ED1F90" w:rsidRDefault="00ED1F90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59D41FD3" w14:textId="77777777" w:rsidR="00ED1F90" w:rsidRDefault="00ED1F90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39D5B6C6" w14:textId="77777777" w:rsidR="00ED1F90" w:rsidRDefault="00ED1F90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6D18A97" w14:textId="77777777" w:rsidR="00ED1F90" w:rsidRDefault="00ED1F90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ED1F90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7DBD" w14:textId="77777777" w:rsidR="004C1327" w:rsidRDefault="004C1327">
      <w:pPr>
        <w:spacing w:after="0" w:line="240" w:lineRule="auto"/>
      </w:pPr>
      <w:r>
        <w:separator/>
      </w:r>
    </w:p>
  </w:endnote>
  <w:endnote w:type="continuationSeparator" w:id="0">
    <w:p w14:paraId="20E4F8A8" w14:textId="77777777" w:rsidR="004C1327" w:rsidRDefault="004C1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dVisiCarriageReturn MSFontSe">
    <w:altName w:val="Times New Roman"/>
    <w:charset w:val="01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DA549" w14:textId="77777777" w:rsidR="004C1327" w:rsidRDefault="004C1327">
      <w:pPr>
        <w:spacing w:after="0" w:line="240" w:lineRule="auto"/>
      </w:pPr>
      <w:r>
        <w:separator/>
      </w:r>
    </w:p>
  </w:footnote>
  <w:footnote w:type="continuationSeparator" w:id="0">
    <w:p w14:paraId="6AC32BE7" w14:textId="77777777" w:rsidR="004C1327" w:rsidRDefault="004C1327">
      <w:pPr>
        <w:spacing w:after="0" w:line="240" w:lineRule="auto"/>
      </w:pPr>
      <w:r>
        <w:continuationSeparator/>
      </w:r>
    </w:p>
  </w:footnote>
  <w:footnote w:id="1">
    <w:p w14:paraId="649C8886" w14:textId="77777777" w:rsidR="00ED1F90" w:rsidRDefault="00ED1F90">
      <w:r>
        <w:rPr>
          <w:rStyle w:val="FootnoteCharacters"/>
          <w:rFonts w:ascii="Corbel" w:hAnsi="Corbel"/>
        </w:rPr>
        <w:footnoteRef/>
      </w:r>
    </w:p>
    <w:p w14:paraId="642E6DBF" w14:textId="77777777" w:rsidR="00ED1F90" w:rsidRDefault="00ED1F90">
      <w:pPr>
        <w:pStyle w:val="Tekstprzypisudolnego"/>
        <w:pageBreakBefore/>
      </w:pPr>
      <w:r>
        <w:rPr>
          <w:rStyle w:val="FootnoteCharacters"/>
        </w:rPr>
        <w:tab/>
        <w:t>?</w:t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9208814">
    <w:abstractNumId w:val="0"/>
  </w:num>
  <w:num w:numId="2" w16cid:durableId="529295199">
    <w:abstractNumId w:val="1"/>
  </w:num>
  <w:num w:numId="3" w16cid:durableId="1982464985">
    <w:abstractNumId w:val="2"/>
  </w:num>
  <w:num w:numId="4" w16cid:durableId="1552040145">
    <w:abstractNumId w:val="3"/>
  </w:num>
  <w:num w:numId="5" w16cid:durableId="1566837636">
    <w:abstractNumId w:val="4"/>
  </w:num>
  <w:num w:numId="6" w16cid:durableId="2085688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463E"/>
    <w:rsid w:val="00024517"/>
    <w:rsid w:val="001A72D3"/>
    <w:rsid w:val="001E1CA9"/>
    <w:rsid w:val="00237EEF"/>
    <w:rsid w:val="003D446B"/>
    <w:rsid w:val="00430295"/>
    <w:rsid w:val="004A1759"/>
    <w:rsid w:val="004C1327"/>
    <w:rsid w:val="005435DB"/>
    <w:rsid w:val="00591DE3"/>
    <w:rsid w:val="00597FF8"/>
    <w:rsid w:val="005F480B"/>
    <w:rsid w:val="00710B8B"/>
    <w:rsid w:val="007B139A"/>
    <w:rsid w:val="007D6F4F"/>
    <w:rsid w:val="00A32232"/>
    <w:rsid w:val="00A479D8"/>
    <w:rsid w:val="00A947E2"/>
    <w:rsid w:val="00B24374"/>
    <w:rsid w:val="00B4463E"/>
    <w:rsid w:val="00BB0605"/>
    <w:rsid w:val="00BF4E23"/>
    <w:rsid w:val="00C8127D"/>
    <w:rsid w:val="00C812A8"/>
    <w:rsid w:val="00CC62D5"/>
    <w:rsid w:val="00E61C15"/>
    <w:rsid w:val="00ED1F90"/>
    <w:rsid w:val="00F7501F"/>
    <w:rsid w:val="00FA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DD40AC"/>
  <w15:chartTrackingRefBased/>
  <w15:docId w15:val="{2F8438F4-CD56-4724-9425-B4657FFC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  <w:lang w:eastAsia="pl-PL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  <w:rPr>
      <w:rFonts w:cs="Lohit Devanagari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Contents">
    <w:name w:val="Table Contents"/>
    <w:basedOn w:val="Normalny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s.utas.edu.au/845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dicalphilosophyarchive.com/commentary/newliberalspe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jstor.org/stable/2341638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1851</Words>
  <Characters>11110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Links>
    <vt:vector size="18" baseType="variant">
      <vt:variant>
        <vt:i4>6029380</vt:i4>
      </vt:variant>
      <vt:variant>
        <vt:i4>6</vt:i4>
      </vt:variant>
      <vt:variant>
        <vt:i4>0</vt:i4>
      </vt:variant>
      <vt:variant>
        <vt:i4>5</vt:i4>
      </vt:variant>
      <vt:variant>
        <vt:lpwstr>https://www.jstor.org/stable/23416381</vt:lpwstr>
      </vt:variant>
      <vt:variant>
        <vt:lpwstr/>
      </vt:variant>
      <vt:variant>
        <vt:i4>786498</vt:i4>
      </vt:variant>
      <vt:variant>
        <vt:i4>3</vt:i4>
      </vt:variant>
      <vt:variant>
        <vt:i4>0</vt:i4>
      </vt:variant>
      <vt:variant>
        <vt:i4>5</vt:i4>
      </vt:variant>
      <vt:variant>
        <vt:lpwstr>https://eprints.utas.edu.au/8453/</vt:lpwstr>
      </vt:variant>
      <vt:variant>
        <vt:lpwstr/>
      </vt:variant>
      <vt:variant>
        <vt:i4>7733299</vt:i4>
      </vt:variant>
      <vt:variant>
        <vt:i4>0</vt:i4>
      </vt:variant>
      <vt:variant>
        <vt:i4>0</vt:i4>
      </vt:variant>
      <vt:variant>
        <vt:i4>5</vt:i4>
      </vt:variant>
      <vt:variant>
        <vt:lpwstr>https://www.radicalphilosophyarchive.com/commentary/newliberalspeak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Jadwiga Skrzypek-Faluszczak</cp:lastModifiedBy>
  <cp:revision>4</cp:revision>
  <cp:lastPrinted>2019-02-06T11:12:00Z</cp:lastPrinted>
  <dcterms:created xsi:type="dcterms:W3CDTF">2026-08-31T19:08:00Z</dcterms:created>
  <dcterms:modified xsi:type="dcterms:W3CDTF">2026-08-31T19:10:00Z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